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8f074555c262045cc964635a511d7edcbf18d"/>
    <w:p>
      <w:pPr>
        <w:pStyle w:val="Heading3"/>
      </w:pPr>
      <w:r>
        <w:t xml:space="preserve">Интерактивная карта магазинов шаговой доступности появится весной на московском портале открытых данных</w:t>
      </w:r>
    </w:p>
    <w:p>
      <w:pPr>
        <w:pStyle w:val="FirstParagraph"/>
      </w:pPr>
      <w:r>
        <w:t xml:space="preserve">17.01.2015</w:t>
      </w:r>
    </w:p>
    <w:p>
      <w:pPr>
        <w:pStyle w:val="BodyText"/>
      </w:pPr>
      <w:r>
        <w:t xml:space="preserve">По мнению Немерюка, новые объекты необходимо развивать равномерно, в том числе искать для них новые площади в глубине жилых кварталов, а не только концентрировать у метро, как это зачастую принято сейчас. В прошлом году более 84% пользователей портала "Активный гражданин" отметили, что им не хватает магазинов шаговой доступности. Особенно остро эта проблема стоит в центре Москвы.</w:t>
      </w:r>
      <w:r>
        <w:t xml:space="preserve"> </w:t>
      </w:r>
      <w:r>
        <w:t xml:space="preserve">Сейчас на портале "Наш город" есть "Карта проблемных магазинов", на которые москвичи жаловались в Роспотребнадзор. В основном это магазины, нарушающие санитарные требования и торгующие просроченными товарами. Для жителей столичного региона также создан портал "Добрые цены", помогающий найти самые дешевые продукты, напитки и товары для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http://ostankino.mos.ru/active-citizen/detail/1526405.html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26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26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2024-11-05T20:27:47Z</dcterms:created>
  <dcterms:modified xsi:type="dcterms:W3CDTF">2024-11-05T20:27:47Z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