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48f695cff17ebd34cea92308993500638040512"/>
    <w:p>
      <w:pPr>
        <w:pStyle w:val="Heading3"/>
      </w:pPr>
      <w:r>
        <w:t xml:space="preserve">Методические рекомендации по вопросам представления сведений о доходах, расходах, об имуществе и обязательства имущественного характера и заполнения соответствующей формы справки</w:t>
      </w:r>
    </w:p>
    <w:p>
      <w:pPr>
        <w:pStyle w:val="FirstParagraph"/>
      </w:pPr>
      <w:r>
        <w:t xml:space="preserve">23.07.2015</w:t>
      </w:r>
    </w:p>
    <w:p>
      <w:pPr>
        <w:pStyle w:val="BodyText"/>
      </w:pPr>
      <w:r>
        <w:rPr>
          <w:bCs/>
          <w:b/>
        </w:rPr>
        <w:t xml:space="preserve">МЕТОДИЧЕСКИЕ РЕКОМЕНДАЦИИ</w:t>
      </w:r>
    </w:p>
    <w:p>
      <w:pPr>
        <w:pStyle w:val="BodyText"/>
      </w:pPr>
      <w:r>
        <w:rPr>
          <w:bCs/>
          <w:b/>
        </w:rPr>
        <w:t xml:space="preserve">ПО ВОПРОСАМ ПРЕДСТАВЛЕНИЯ СВЕДЕНИЙ</w:t>
      </w:r>
    </w:p>
    <w:p>
      <w:pPr>
        <w:pStyle w:val="BodyText"/>
      </w:pPr>
      <w:r>
        <w:rPr>
          <w:bCs/>
          <w:b/>
        </w:rPr>
        <w:t xml:space="preserve">О ДОХОДАХ, РАСХОДАХ, ОБ ИМУЩЕСТВЕ И ОБЯЗАТЕЛЬСТВАХ ИМУЩЕСТВЕННОГО ХАРАКТЕРА</w:t>
      </w:r>
    </w:p>
    <w:p>
      <w:pPr>
        <w:pStyle w:val="BodyText"/>
      </w:pPr>
      <w:r>
        <w:rPr>
          <w:bCs/>
          <w:b/>
        </w:rPr>
        <w:t xml:space="preserve">И ЗАПОЛНЕНИЯ СООТВЕТСТВУЮЩЕЙ ФОРМЫ СПРАВКИ</w:t>
      </w:r>
    </w:p>
    <w:p>
      <w:pPr>
        <w:pStyle w:val="BodyText"/>
      </w:pPr>
      <w:r>
        <w:rPr>
          <w:bCs/>
          <w:b/>
        </w:rPr>
        <w:t xml:space="preserve">I. Представление сведений о доходах, расходах, об имуществе и обязательствах имущественного характера</w:t>
      </w:r>
    </w:p>
    <w:p>
      <w:pPr>
        <w:pStyle w:val="BodyText"/>
      </w:pPr>
      <w:r>
        <w:rPr>
          <w:bCs/>
          <w:b/>
        </w:rPr>
        <w:t xml:space="preserve">Лица, обязанные представлять сведения о доходах, расходах, об имуществе и обязательствах имущественного характера</w:t>
      </w:r>
    </w:p>
    <w:p>
      <w:pPr>
        <w:pStyle w:val="BodyText"/>
      </w:pPr>
      <w:r>
        <w:t xml:space="preserve">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BodyText"/>
      </w:pPr>
      <w:r>
        <w:t xml:space="preserve">а) лицом, замещающим государственную должность Российской Федерации, государственную должность субъекта Российской Федерации, муниципальную должность (замещаемая на постоянной основе);</w:t>
      </w:r>
    </w:p>
    <w:p>
      <w:pPr>
        <w:pStyle w:val="BodyText"/>
      </w:pPr>
      <w:r>
        <w:t xml:space="preserve">б) государственными и муниципальными служащими, замещающим должности, включенные в</w:t>
      </w:r>
      <w:r>
        <w:t xml:space="preserve"> </w:t>
      </w:r>
      <w:hyperlink r:id="rId20">
        <w:r>
          <w:rPr>
            <w:rStyle w:val="Hyperlink"/>
          </w:rPr>
          <w:t xml:space="preserve">перечни</w:t>
        </w:r>
      </w:hyperlink>
      <w:r>
        <w:t xml:space="preserve">, установленные нормативными правовыми актами Российской Федерации;</w:t>
      </w:r>
    </w:p>
    <w:p>
      <w:pPr>
        <w:pStyle w:val="BodyText"/>
      </w:pPr>
      <w:r>
        <w:t xml:space="preserve">в) работниками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 локальными нормативными актами организаций;</w:t>
      </w:r>
    </w:p>
    <w:p>
      <w:pPr>
        <w:pStyle w:val="BodyText"/>
      </w:pPr>
      <w:r>
        <w:t xml:space="preserve">г)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w:t>
      </w:r>
      <w:r>
        <w:t xml:space="preserve"> </w:t>
      </w:r>
      <w:hyperlink r:id="rId21">
        <w:r>
          <w:rPr>
            <w:rStyle w:val="Hyperlink"/>
          </w:rPr>
          <w:t xml:space="preserve">перечни</w:t>
        </w:r>
      </w:hyperlink>
      <w:r>
        <w:t xml:space="preserve">, установленные федеральными государственными органами.</w:t>
      </w:r>
    </w:p>
    <w:p>
      <w:pPr>
        <w:pStyle w:val="BodyText"/>
      </w:pPr>
      <w:r>
        <w:t xml:space="preserve">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BodyText"/>
      </w:pPr>
      <w:r>
        <w:t xml:space="preserve">а) государственной должности Российской Федерации, государственной должности субъекта Российской Федерации, муниципальной должности;</w:t>
      </w:r>
    </w:p>
    <w:p>
      <w:pPr>
        <w:pStyle w:val="BodyText"/>
      </w:pPr>
      <w:r>
        <w:t xml:space="preserve">б) любой должности государственной службы;</w:t>
      </w:r>
    </w:p>
    <w:p>
      <w:pPr>
        <w:pStyle w:val="BodyText"/>
      </w:pPr>
      <w:r>
        <w:t xml:space="preserve">в) должности муниципальной службы, включенной в перечни, установленные нормативными правовыми актами Российской Федерации;</w:t>
      </w:r>
    </w:p>
    <w:p>
      <w:pPr>
        <w:pStyle w:val="BodyText"/>
      </w:pPr>
      <w:r>
        <w:t xml:space="preserve">г)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должность, включенную в перечни, установленные нормативными актами фондов, локальными нормативными актами организаций;</w:t>
      </w:r>
    </w:p>
    <w:p>
      <w:pPr>
        <w:pStyle w:val="BodyText"/>
      </w:pPr>
      <w:r>
        <w:t xml:space="preserve">д)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w:t>
      </w:r>
      <w:r>
        <w:t xml:space="preserve"> </w:t>
      </w:r>
      <w:hyperlink r:id="rId21">
        <w:r>
          <w:rPr>
            <w:rStyle w:val="Hyperlink"/>
          </w:rPr>
          <w:t xml:space="preserve">перечни</w:t>
        </w:r>
      </w:hyperlink>
      <w:r>
        <w:t xml:space="preserve">, установленные федеральными государственными органами.</w:t>
      </w:r>
    </w:p>
    <w:p>
      <w:pPr>
        <w:pStyle w:val="BodyText"/>
      </w:pPr>
      <w:r>
        <w:rPr>
          <w:bCs/>
          <w:b/>
        </w:rPr>
        <w:t xml:space="preserve">Обязательность представления сведений</w:t>
      </w:r>
    </w:p>
    <w:p>
      <w:pPr>
        <w:pStyle w:val="BodyText"/>
      </w:pPr>
      <w:r>
        <w:t xml:space="preserve">3. Законодательством Российской Федерации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pPr>
        <w:pStyle w:val="BodyText"/>
      </w:pPr>
      <w:r>
        <w:t xml:space="preserve">4.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 почте.</w:t>
      </w:r>
    </w:p>
    <w:p>
      <w:pPr>
        <w:pStyle w:val="BodyText"/>
      </w:pPr>
      <w:r>
        <w:rPr>
          <w:bCs/>
          <w:b/>
        </w:rPr>
        <w:t xml:space="preserve">Сроки представления сведений</w:t>
      </w:r>
    </w:p>
    <w:p>
      <w:pPr>
        <w:pStyle w:val="BodyText"/>
      </w:pPr>
      <w:r>
        <w:t xml:space="preserve">5.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pPr>
        <w:pStyle w:val="BodyText"/>
      </w:pPr>
      <w:r>
        <w:t xml:space="preserve">6. Служащие (работники) представляют сведения ежегодно в следующие сроки:</w:t>
      </w:r>
    </w:p>
    <w:p>
      <w:pPr>
        <w:pStyle w:val="BodyText"/>
      </w:pPr>
      <w:r>
        <w:t xml:space="preserve">а)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p>
    <w:p>
      <w:pPr>
        <w:pStyle w:val="BodyText"/>
      </w:pPr>
      <w:r>
        <w:t xml:space="preserve">б) не позднее 30 апреля года, следующего за отчетным (федеральные государственные служащие, служащие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p>
    <w:p>
      <w:pPr>
        <w:pStyle w:val="BodyText"/>
      </w:pPr>
      <w:r>
        <w:t xml:space="preserve">7. Сведения могут быть представлены служащим (работником) в любое время, начиная с 1 января года, следующего за отчетным.</w:t>
      </w:r>
    </w:p>
    <w:p>
      <w:pPr>
        <w:pStyle w:val="BodyText"/>
      </w:pPr>
      <w:r>
        <w:t xml:space="preserve">8.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BodyText"/>
      </w:pPr>
      <w:r>
        <w:rPr>
          <w:bCs/>
          <w:b/>
        </w:rPr>
        <w:t xml:space="preserve">Лица, в отношении которых представляются сведения</w:t>
      </w:r>
    </w:p>
    <w:p>
      <w:pPr>
        <w:pStyle w:val="BodyText"/>
      </w:pPr>
      <w:r>
        <w:t xml:space="preserve">9. Сведения представляются отдельно:</w:t>
      </w:r>
    </w:p>
    <w:p>
      <w:pPr>
        <w:pStyle w:val="BodyText"/>
      </w:pPr>
      <w:r>
        <w:t xml:space="preserve">а) в отношении служащего (работника),</w:t>
      </w:r>
    </w:p>
    <w:p>
      <w:pPr>
        <w:pStyle w:val="BodyText"/>
      </w:pPr>
      <w:r>
        <w:t xml:space="preserve">б) в отношении его супруги (супруга),</w:t>
      </w:r>
    </w:p>
    <w:p>
      <w:pPr>
        <w:pStyle w:val="BodyText"/>
      </w:pPr>
      <w:r>
        <w:t xml:space="preserve">в) в отношении каждого несовершеннолетнего ребенка служащего (работника).</w:t>
      </w:r>
    </w:p>
    <w:p>
      <w:pPr>
        <w:pStyle w:val="BodyText"/>
      </w:pPr>
      <w: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pPr>
        <w:pStyle w:val="BodyText"/>
      </w:pPr>
      <w:r>
        <w:t xml:space="preserve">10.</w:t>
      </w:r>
      <w:r>
        <w:t xml:space="preserve"> </w:t>
      </w:r>
      <w:r>
        <w:rPr>
          <w:bCs/>
          <w:b/>
        </w:rPr>
        <w:t xml:space="preserve">Отчетный период и отчетная дата представления сведений</w:t>
      </w:r>
      <w:r>
        <w:t xml:space="preserve">, установленные для граждан и служащих (работников), различны:</w:t>
      </w:r>
    </w:p>
    <w:p>
      <w:pPr>
        <w:pStyle w:val="BodyText"/>
      </w:pPr>
      <w:r>
        <w:t xml:space="preserve">а) гражданин представляет:</w:t>
      </w:r>
    </w:p>
    <w:p>
      <w:pPr>
        <w:pStyle w:val="BodyText"/>
      </w:pPr>
      <w:r>
        <w:t xml:space="preserve">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pPr>
        <w:pStyle w:val="BodyText"/>
      </w:pPr>
      <w:r>
        <w:t xml:space="preserve">сведения об имуществе, принадлежащем ему, его супруге (супругу) и несовершеннолетним детям на праве собственности, и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BodyText"/>
      </w:pPr>
      <w:r>
        <w:t xml:space="preserve">б) служащий (работник) представляет ежегодно:</w:t>
      </w:r>
    </w:p>
    <w:p>
      <w:pPr>
        <w:pStyle w:val="BodyText"/>
      </w:pPr>
      <w:r>
        <w:t xml:space="preserve">сведения о своих доходах и расходах, доходах и расходах супруги (супруга) и несовершеннолетних детей, полученных за календарный (отчетный) год (с 1 января по 31 декабря), предшествующий году представления сведений;</w:t>
      </w:r>
    </w:p>
    <w:p>
      <w:pPr>
        <w:pStyle w:val="BodyText"/>
      </w:pPr>
      <w:r>
        <w:t xml:space="preserve">сведения об имуществе, принадлежащем ему, его супруге (супругу) и несовершеннолетним детям на праве собственности, и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BodyText"/>
      </w:pPr>
      <w:r>
        <w:rPr>
          <w:bCs/>
          <w:b/>
        </w:rPr>
        <w:t xml:space="preserve">Замещение конкретной должности на отчетную дату как основание для представления сведений</w:t>
      </w:r>
    </w:p>
    <w:p>
      <w:pPr>
        <w:pStyle w:val="BodyText"/>
      </w:pPr>
      <w:r>
        <w:t xml:space="preserve">11. Служащий (работник) должен представить сведения, если по состоянию на 31 декабря отчетного года:</w:t>
      </w:r>
    </w:p>
    <w:p>
      <w:pPr>
        <w:pStyle w:val="BodyText"/>
      </w:pPr>
      <w:r>
        <w:t xml:space="preserve">а) замещаемая им должность была включена в соответствующий перечень должностей, а сам служащий (работник) замещал указанную должность;</w:t>
      </w:r>
    </w:p>
    <w:p>
      <w:pPr>
        <w:pStyle w:val="BodyText"/>
      </w:pPr>
      <w:r>
        <w:t xml:space="preserve">б) временно замещаемая им должность была включена в соответствующий перечень должностей.</w:t>
      </w:r>
    </w:p>
    <w:p>
      <w:pPr>
        <w:pStyle w:val="BodyText"/>
      </w:pPr>
      <w:r>
        <w:t xml:space="preserve">12.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pPr>
        <w:pStyle w:val="BodyText"/>
      </w:pPr>
      <w:r>
        <w:rPr>
          <w:bCs/>
          <w:b/>
        </w:rPr>
        <w:t xml:space="preserve">Определение круга лиц (членов семьи), в отношении которых необходимо представить сведения</w:t>
      </w:r>
    </w:p>
    <w:p>
      <w:pPr>
        <w:pStyle w:val="BodyText"/>
      </w:pPr>
      <w:r>
        <w:t xml:space="preserve">13.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pPr>
        <w:pStyle w:val="BodyText"/>
      </w:pPr>
      <w:r>
        <w:rPr>
          <w:bCs/>
          <w:b/>
        </w:rPr>
        <w:t xml:space="preserve">Супруги</w:t>
      </w:r>
    </w:p>
    <w:p>
      <w:pPr>
        <w:pStyle w:val="BodyText"/>
      </w:pPr>
      <w:r>
        <w:t xml:space="preserve">14. При принятии решения о необходимости представления сведений в отношении супруги (супруга) следует учитывать положения статьи 25 Семейного кодекса Российской Федерации. Согласно данной статье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pPr>
        <w:pStyle w:val="BodyText"/>
      </w:pPr>
      <w:r>
        <w:t xml:space="preserve">15. 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w:t>
      </w:r>
    </w:p>
    <w:p>
      <w:pPr>
        <w:pStyle w:val="BodyText"/>
      </w:pPr>
      <w:r>
        <w:t xml:space="preserve">Перечень ситуаций и рекомендуемые действия (таблица № 1)</w:t>
      </w:r>
    </w:p>
    <w:tbl>
      <w:tblPr>
        <w:tblStyle w:val="Table"/>
        <w:tblW w:type="auto" w:w="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2015 году (за отчетный 2014 г.)</w:t>
            </w:r>
          </w:p>
        </w:tc>
      </w:tr>
      <w:tr>
        <w:tc>
          <w:tcPr/>
          <w:p>
            <w:pPr>
              <w:jc w:val="left"/>
            </w:pPr>
            <w:r>
              <w:t xml:space="preserve">Брак был расторгнут в органах записи актов гражданского состояния (далее – ЗАГС) в ноябре 2014 года</w:t>
            </w:r>
          </w:p>
        </w:tc>
        <w:tc>
          <w:tcPr/>
          <w:p>
            <w:pPr>
              <w:jc w:val="left"/>
            </w:pPr>
            <w:r>
              <w:t xml:space="preserve">сведения в отношении бывшей супруги не представляются, поскольку по состоянию на отчетную дату (31 декабря 2014 года) служащий (работник) не состоял в браке</w:t>
            </w:r>
          </w:p>
        </w:tc>
      </w:tr>
      <w:tr>
        <w:tc>
          <w:tcPr/>
          <w:p>
            <w:pPr>
              <w:jc w:val="left"/>
            </w:pPr>
            <w:r>
              <w:t xml:space="preserve">Окончательное решение о расторжении брака было принято судом 12 декабря 2014 года и вступило в законную силу 12 января 2015 года.</w:t>
            </w:r>
          </w:p>
        </w:tc>
        <w:tc>
          <w:tcPr/>
          <w:p>
            <w:pPr>
              <w:jc w:val="left"/>
            </w:pPr>
            <w: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2015 года. Таким образом, по состоянию на отчетную дату (31 декабря 2014 года) служащий (работник) считался состоявшим в браке</w:t>
            </w:r>
          </w:p>
        </w:tc>
      </w:tr>
      <w:tr>
        <w:tc>
          <w:tcPr/>
          <w:p>
            <w:pPr>
              <w:jc w:val="left"/>
            </w:pPr>
            <w:r>
              <w:t xml:space="preserve">Брак был расторгнут в ЗАГСе в марте 2015 года</w:t>
            </w:r>
          </w:p>
        </w:tc>
        <w:tc>
          <w:tcPr/>
          <w:p>
            <w:pPr>
              <w:jc w:val="left"/>
            </w:pPr>
            <w:r>
              <w:t xml:space="preserve">сведения в отношении бывшей супруги представляются, поскольку по состоянию на отчетную дату (31 декабря 2014 года) служащий (работник) состоял в браке</w:t>
            </w:r>
          </w:p>
        </w:tc>
      </w:tr>
      <w:tr>
        <w:tc>
          <w:tcPr>
            <w:gridSpan w:val="2"/>
          </w:tcPr>
          <w:p>
            <w:pPr>
              <w:jc w:val="left"/>
            </w:pPr>
            <w:r>
              <w:t xml:space="preserve">Пример: гражданин в сентябре 2014 года представляет сведения в связи с подачей документов для назначении на должность. Отчетной датой является 1 августа 2014 года</w:t>
            </w:r>
          </w:p>
        </w:tc>
      </w:tr>
      <w:tr>
        <w:tc>
          <w:tcPr/>
          <w:p>
            <w:pPr>
              <w:jc w:val="left"/>
            </w:pPr>
            <w:r>
              <w:t xml:space="preserve">Брак был расторгнут в ЗАГСе 1 июля 2014 года</w:t>
            </w:r>
          </w:p>
        </w:tc>
        <w:tc>
          <w:tcPr/>
          <w:p>
            <w:pPr>
              <w:jc w:val="left"/>
            </w:pPr>
            <w:r>
              <w:t xml:space="preserve">сведения в отношении бывшей супруги не представляются, поскольку по состоянию на отчетную дату (1 августа 2014 года) гражданин не состоял в браке</w:t>
            </w:r>
          </w:p>
        </w:tc>
      </w:tr>
      <w:tr>
        <w:tc>
          <w:tcPr/>
          <w:p>
            <w:pPr>
              <w:jc w:val="left"/>
            </w:pPr>
            <w:r>
              <w:t xml:space="preserve">Брак был расторгнут в ЗАГСе 2 августа 2014 года</w:t>
            </w:r>
          </w:p>
        </w:tc>
        <w:tc>
          <w:tcPr/>
          <w:p>
            <w:pPr>
              <w:jc w:val="left"/>
            </w:pPr>
            <w:r>
              <w:t xml:space="preserve">сведения в отношении бывшей супруги представляются, поскольку по состоянию на отчетную дату (1 августа 2014 года) гражданин состоял в браке</w:t>
            </w:r>
          </w:p>
        </w:tc>
      </w:tr>
      <w:tr>
        <w:tc>
          <w:tcPr/>
          <w:p>
            <w:pPr>
              <w:jc w:val="left"/>
            </w:pPr>
            <w:r>
              <w:t xml:space="preserve">Окончательное решение о расторжении брака было принято судом 4 июля 2014 года и вступило в законную силу 4 августа 2014 г.</w:t>
            </w:r>
          </w:p>
        </w:tc>
        <w:tc>
          <w:tcPr/>
          <w:p>
            <w:pPr>
              <w:jc w:val="left"/>
            </w:pPr>
            <w: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2014 года. Таким образом, по состоянию на отчетную дату (1 августа 2014 года) гражданин считался состоявшим в браке</w:t>
            </w:r>
          </w:p>
        </w:tc>
      </w:tr>
    </w:tbl>
    <w:p>
      <w:pPr>
        <w:pStyle w:val="BodyText"/>
      </w:pPr>
      <w:r>
        <w:rPr>
          <w:bCs/>
          <w:b/>
        </w:rPr>
        <w:t xml:space="preserve">Несовершеннолетние дети</w:t>
      </w:r>
    </w:p>
    <w:p>
      <w:pPr>
        <w:pStyle w:val="BodyText"/>
      </w:pPr>
      <w:r>
        <w:t xml:space="preserve">16.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BodyText"/>
      </w:pPr>
      <w:r>
        <w:t xml:space="preserve">17.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pPr>
        <w:pStyle w:val="BodyText"/>
      </w:pPr>
      <w:r>
        <w:t xml:space="preserve">Перечень ситуаций и рекомендуемые действия (таблица № 2)</w:t>
      </w:r>
    </w:p>
    <w:tbl>
      <w:tblPr>
        <w:tblStyle w:val="Table"/>
        <w:tblW w:type="auto" w:w="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2015 году (за отчетный 2014 г.)</w:t>
            </w:r>
          </w:p>
        </w:tc>
      </w:tr>
      <w:tr>
        <w:tc>
          <w:tcPr/>
          <w:p>
            <w:pPr>
              <w:jc w:val="left"/>
            </w:pPr>
            <w:r>
              <w:t xml:space="preserve">Дочери служащего (работника) 21 мая 2014 года исполнилось 18 лет</w:t>
            </w:r>
          </w:p>
        </w:tc>
        <w:tc>
          <w:tcPr/>
          <w:p>
            <w:pPr>
              <w:jc w:val="left"/>
            </w:pPr>
            <w:r>
              <w:t xml:space="preserve">сведения в отношении дочери не представляются, поскольку по состоянию на отчетную дату (31 декабря 2014 года) дочери служащего (работника) уже исполнилось 18 лет, она являлась совершеннолетней</w:t>
            </w:r>
          </w:p>
        </w:tc>
      </w:tr>
      <w:tr>
        <w:tc>
          <w:tcPr/>
          <w:p>
            <w:pPr>
              <w:jc w:val="left"/>
            </w:pPr>
            <w:r>
              <w:t xml:space="preserve">Дочери служащего (работника) 30 декабря 2014 года исполнилось 18 лет</w:t>
            </w:r>
          </w:p>
        </w:tc>
        <w:tc>
          <w:tcPr/>
          <w:p>
            <w:pPr>
              <w:jc w:val="left"/>
            </w:pPr>
            <w:r>
              <w:t xml:space="preserve">сведения в отношении дочери не представляются, поскольку по состоянию на отчетную дату (31 декабря 2014 года) дочери служащего (работника) уже исполнилось 18 лет, она являлась совершеннолетней</w:t>
            </w:r>
          </w:p>
        </w:tc>
      </w:tr>
      <w:tr>
        <w:tc>
          <w:tcPr/>
          <w:p>
            <w:pPr>
              <w:jc w:val="left"/>
            </w:pPr>
            <w:r>
              <w:t xml:space="preserve">Дочери служащего (работника) 31 декабря 2014 года исполнилось 18 лет</w:t>
            </w:r>
          </w:p>
        </w:tc>
        <w:tc>
          <w:tcPr/>
          <w:p>
            <w:pPr>
              <w:jc w:val="left"/>
            </w:pPr>
            <w: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2015 года. Таким образом, по состоянию на отчетную дату (31 декабря 2014 года) она еще являлась несовершеннолетней</w:t>
            </w:r>
          </w:p>
        </w:tc>
      </w:tr>
      <w:tr>
        <w:tc>
          <w:tcPr>
            <w:gridSpan w:val="2"/>
          </w:tcPr>
          <w:p>
            <w:pPr>
              <w:jc w:val="left"/>
            </w:pPr>
            <w:r>
              <w:t xml:space="preserve">Пример: гражданин представляет в сентябре 2014 года сведения в связи с назначением на должность. Отчетной датой является 1 августа 2014 года</w:t>
            </w:r>
          </w:p>
        </w:tc>
      </w:tr>
      <w:tr>
        <w:tc>
          <w:tcPr/>
          <w:p>
            <w:pPr>
              <w:jc w:val="left"/>
            </w:pPr>
            <w:r>
              <w:t xml:space="preserve">Сыну гражданина 5 мая 2014 года исполнилось 18 лет</w:t>
            </w:r>
          </w:p>
        </w:tc>
        <w:tc>
          <w:tcPr/>
          <w:p>
            <w:pPr>
              <w:jc w:val="left"/>
            </w:pPr>
            <w:r>
              <w:t xml:space="preserve">сведения в отношении сына не представляются, поскольку он являлся совершеннолетним и по состоянию на отчетную дату (1 августа 2014 года) сыну гражданина уже исполнилось 18 лет</w:t>
            </w:r>
          </w:p>
        </w:tc>
      </w:tr>
      <w:tr>
        <w:tc>
          <w:tcPr/>
          <w:p>
            <w:pPr>
              <w:jc w:val="left"/>
            </w:pPr>
            <w:r>
              <w:t xml:space="preserve">Сыну гражданина 1 августа 2014 года исполнилось 18 лет</w:t>
            </w:r>
          </w:p>
        </w:tc>
        <w:tc>
          <w:tcPr/>
          <w:p>
            <w:pPr>
              <w:jc w:val="left"/>
            </w:pPr>
            <w: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2014 года. Таким образом, по состоянию на отчетную дату (1 августа 2014 года) он еще являлся несовершеннолетним</w:t>
            </w:r>
          </w:p>
        </w:tc>
      </w:tr>
      <w:tr>
        <w:tc>
          <w:tcPr/>
          <w:p>
            <w:pPr>
              <w:jc w:val="left"/>
            </w:pPr>
            <w:r>
              <w:t xml:space="preserve">Сыну гражданина 17 августа 2014 года исполнилось 18 лет</w:t>
            </w:r>
          </w:p>
        </w:tc>
        <w:tc>
          <w:tcPr/>
          <w:p>
            <w:pPr>
              <w:jc w:val="left"/>
            </w:pPr>
            <w:r>
              <w:t xml:space="preserve">сведения в отношении сына представляются, поскольку по состоянию на отчетную дату (1 августа 2014 года) сын гражданина является несовершеннолетним</w:t>
            </w:r>
          </w:p>
        </w:tc>
      </w:tr>
    </w:tbl>
    <w:p>
      <w:pPr>
        <w:pStyle w:val="BodyText"/>
      </w:pPr>
      <w:r>
        <w:rPr>
          <w:bCs/>
          <w:b/>
        </w:rPr>
        <w:t xml:space="preserve">Рекомендуемые действия при невозможности представить сведения в отношении члена семьи</w:t>
      </w:r>
    </w:p>
    <w:p>
      <w:pPr>
        <w:pStyle w:val="BodyText"/>
      </w:pPr>
      <w:r>
        <w:t xml:space="preserve">18. При невозможности по объективным причинам представить сведения о доходах, расходах, об имуществе и обязательствах имущественного характера в отношении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1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w:t>
      </w:r>
    </w:p>
    <w:p>
      <w:pPr>
        <w:pStyle w:val="BodyText"/>
      </w:pPr>
      <w:r>
        <w:t xml:space="preserve">19. Заявление должно быть направлено до истечения срока, установленного для представления служащим (работником) сведений о доходах, расходах, об имуществе и обязательствах имущественного характера.</w:t>
      </w:r>
    </w:p>
    <w:p>
      <w:pPr>
        <w:pStyle w:val="BodyText"/>
      </w:pPr>
      <w:r>
        <w:t xml:space="preserve">Заявление подается (таблица № 3)</w:t>
      </w:r>
    </w:p>
    <w:tbl>
      <w:tblPr>
        <w:tblStyle w:val="Table"/>
        <w:tblW w:type="auto" w:w="0"/>
        <w:tblLook w:firstRow="0" w:lastRow="0" w:firstColumn="0" w:lastColumn="0" w:noHBand="0" w:noVBand="0" w:val="0000"/>
      </w:tblPr>
      <w:tblGrid>
        <w:gridCol w:w="3960"/>
        <w:gridCol w:w="3960"/>
      </w:tblGrid>
      <w:tr>
        <w:tc>
          <w:tcPr/>
          <w:p>
            <w:pPr>
              <w:jc w:val="left"/>
            </w:pPr>
            <w:r>
              <w:t xml:space="preserve">В Управление Президента Российской Федерации по вопросам противодействия коррупции</w:t>
            </w:r>
          </w:p>
        </w:tc>
        <w:tc>
          <w:tcPr/>
          <w:p>
            <w:pPr>
              <w:jc w:val="left"/>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w:t>
            </w:r>
          </w:p>
        </w:tc>
      </w:tr>
      <w:tr>
        <w:tc>
          <w:tcPr/>
          <w:p>
            <w:pPr>
              <w:jc w:val="left"/>
            </w:pPr>
            <w:r>
              <w:t xml:space="preserve">В Департамент государственной службы и кадров Правительства Российской Федерации</w:t>
            </w:r>
          </w:p>
        </w:tc>
        <w:tc>
          <w:tcPr/>
          <w:p>
            <w:pPr>
              <w:jc w:val="left"/>
            </w:pPr>
            <w:r>
              <w:t xml:space="preserve">Лицами, замещающими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c>
          <w:tcPr/>
          <w:p>
            <w:pPr>
              <w:jc w:val="left"/>
            </w:pPr>
            <w:r>
              <w:t xml:space="preserve">В подразделение кадровой службы федерального государственного органа по профилактике коррупционных и иных правонарушений</w:t>
            </w:r>
          </w:p>
        </w:tc>
        <w:tc>
          <w:tcPr/>
          <w:p>
            <w:pPr>
              <w:jc w:val="left"/>
            </w:pPr>
            <w: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tc>
          <w:tcPr/>
          <w:p>
            <w:pPr>
              <w:jc w:val="left"/>
            </w:pPr>
            <w: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федерального закона</w:t>
            </w:r>
          </w:p>
        </w:tc>
        <w:tc>
          <w:tcPr/>
          <w:p>
            <w:pPr>
              <w:jc w:val="left"/>
            </w:pPr>
            <w:r>
              <w:t xml:space="preserve">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(компании) и иных организаций, созданных на основании федеральных законов</w:t>
            </w:r>
          </w:p>
        </w:tc>
      </w:tr>
    </w:tbl>
    <w:p>
      <w:pPr>
        <w:pStyle w:val="BodyText"/>
      </w:pPr>
      <w:r>
        <w:t xml:space="preserve">20.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pPr>
        <w:pStyle w:val="BodyText"/>
      </w:pPr>
      <w:r>
        <w:br/>
      </w:r>
    </w:p>
    <w:p>
      <w:pPr>
        <w:pStyle w:val="BodyText"/>
      </w:pPr>
      <w:r>
        <w:rPr>
          <w:bCs/>
          <w:b/>
        </w:rPr>
        <w:t xml:space="preserve">II. Заполнение справки о доходах, расходах, об имуществе и обязательствах имущественного характера</w:t>
      </w:r>
    </w:p>
    <w:p>
      <w:pPr>
        <w:pStyle w:val="BodyText"/>
      </w:pPr>
      <w:r>
        <w:t xml:space="preserve">21. 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p>
    <w:p>
      <w:pPr>
        <w:pStyle w:val="BodyText"/>
      </w:pPr>
      <w:r>
        <w:t xml:space="preserve">22. Собственноручное заполнение справки допускает возможность ее самостоятельного заполнения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w:t>
      </w:r>
    </w:p>
    <w:p>
      <w:pPr>
        <w:pStyle w:val="BodyText"/>
      </w:pPr>
      <w:r>
        <w:rPr>
          <w:bCs/>
          <w:b/>
        </w:rPr>
        <w:t xml:space="preserve">ТИТУЛЬНЫЙ ЛИСТ</w:t>
      </w:r>
    </w:p>
    <w:p>
      <w:pPr>
        <w:pStyle w:val="BodyText"/>
      </w:pPr>
      <w:r>
        <w:t xml:space="preserve">23. При заполнении титульного листа справки рекомендуется обратить внимание на следующее:</w:t>
      </w:r>
    </w:p>
    <w:p>
      <w:pPr>
        <w:pStyle w:val="BodyText"/>
      </w:pPr>
      <w:r>
        <w:t xml:space="preserve">а) фамилия, имя и отчество гражданина, служащего (работника), представляющего сведения, указывается (в именительном, родительном, дательном падежах) полностью, без сокращений в соответствии с документом, удостоверяющим личность. 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родительном падеже. Фамилия, имя, отчество, указываемые после слов «об имуществе, принадлежащем», приводятся в дательном падеже;</w:t>
      </w:r>
    </w:p>
    <w:p>
      <w:pPr>
        <w:pStyle w:val="BodyText"/>
      </w:pPr>
      <w:r>
        <w:t xml:space="preserve">б) дата рождения (год рождения) указывается в соответствии с записью в документе, удостоверяющем личность;</w:t>
      </w:r>
    </w:p>
    <w:p>
      <w:pPr>
        <w:pStyle w:val="BodyText"/>
      </w:pPr>
      <w:r>
        <w:t xml:space="preserve">в) место службы (работы) и занимаемая должность указывается в соответствии с приказом о назначении и служебным контрактом (трудовым договором);</w:t>
      </w:r>
    </w:p>
    <w:p>
      <w:pPr>
        <w:pStyle w:val="BodyText"/>
      </w:pPr>
      <w:r>
        <w:t xml:space="preserve">г)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его семьи не проживает по адресу места регистрации, в скобках указывается адрес фактического проживания.</w:t>
      </w:r>
    </w:p>
    <w:p>
      <w:pPr>
        <w:pStyle w:val="BodyText"/>
      </w:pPr>
      <w:r>
        <w:rPr>
          <w:bCs/>
          <w:b/>
        </w:rPr>
        <w:t xml:space="preserve">РАЗДЕЛ 1. СВЕДЕНИЯ О ДОХОДАХ</w:t>
      </w:r>
    </w:p>
    <w:p>
      <w:pPr>
        <w:pStyle w:val="BodyText"/>
      </w:pPr>
      <w:r>
        <w:t xml:space="preserve">24. При заполнении данного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о доходах, расходах, об имуществе и обязательствах имущественного характера под «доходом» следует понимать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w:t>
      </w:r>
    </w:p>
    <w:p>
      <w:pPr>
        <w:pStyle w:val="BodyText"/>
      </w:pPr>
      <w:r>
        <w:rPr>
          <w:bCs/>
          <w:b/>
        </w:rPr>
        <w:t xml:space="preserve">Доход по основному месту работы</w:t>
      </w:r>
    </w:p>
    <w:p>
      <w:pPr>
        <w:pStyle w:val="BodyText"/>
      </w:pPr>
      <w:r>
        <w:t xml:space="preserve">25.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 2-НДФЛ, выдаваемой по месту службы (работы) (</w:t>
      </w:r>
      <w:hyperlink r:id="rId22">
        <w:r>
          <w:rPr>
            <w:rStyle w:val="Hyperlink"/>
          </w:rPr>
          <w:t xml:space="preserve">графа 5.1</w:t>
        </w:r>
      </w:hyperlink>
      <w:r>
        <w:t xml:space="preserve"> </w:t>
      </w:r>
      <w:r>
        <w:t xml:space="preserve">«Общая сумма дохода»).</w:t>
      </w:r>
    </w:p>
    <w:p>
      <w:pPr>
        <w:pStyle w:val="BodyText"/>
      </w:pPr>
      <w:r>
        <w:t xml:space="preserve">26.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pPr>
        <w:pStyle w:val="BodyText"/>
      </w:pPr>
      <w:r>
        <w:rPr>
          <w:bCs/>
          <w:b/>
        </w:rPr>
        <w:t xml:space="preserve">Доход от педагогической и научной деятельности</w:t>
      </w:r>
    </w:p>
    <w:p>
      <w:pPr>
        <w:pStyle w:val="BodyText"/>
      </w:pPr>
      <w:r>
        <w:t xml:space="preserve">27. В данной строке указывается сумма дохода от педагогической деятельности (сумма дохода, содержащаяся в справке № 2-НДФЛ, выданной по месту преподавания) и дохода от научной деятельности (доходы, полученные по результатам 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w:t>
      </w:r>
    </w:p>
    <w:p>
      <w:pPr>
        <w:pStyle w:val="BodyText"/>
      </w:pPr>
      <w:r>
        <w:t xml:space="preserve">28.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pPr>
        <w:pStyle w:val="BodyText"/>
      </w:pPr>
      <w:r>
        <w:rPr>
          <w:bCs/>
          <w:b/>
        </w:rPr>
        <w:t xml:space="preserve">Доход от иной творческой деятельности</w:t>
      </w:r>
    </w:p>
    <w:p>
      <w:pPr>
        <w:pStyle w:val="BodyText"/>
      </w:pPr>
      <w:r>
        <w:t xml:space="preserve">29.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BodyText"/>
      </w:pPr>
      <w:r>
        <w:t xml:space="preserve">30. 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BodyText"/>
      </w:pPr>
      <w:r>
        <w:rPr>
          <w:bCs/>
          <w:b/>
        </w:rPr>
        <w:t xml:space="preserve">Доход от вкладов в банках и иных кредитных организациях</w:t>
      </w:r>
    </w:p>
    <w:p>
      <w:pPr>
        <w:pStyle w:val="BodyText"/>
      </w:pPr>
      <w:r>
        <w:t xml:space="preserve">31. В данной строке указывается общая сумма доходов, полученных в отчетном периоде в виде процентов по любым вкладам в банках и иных кредитных организациях, вне зависимости от вида и валюты вклада.</w:t>
      </w:r>
    </w:p>
    <w:p>
      <w:pPr>
        <w:pStyle w:val="BodyText"/>
      </w:pPr>
      <w:r>
        <w:t xml:space="preserve">32. Доход от вкладов, закрытых в отчетном периоде, также подлежит указанию.</w:t>
      </w:r>
    </w:p>
    <w:p>
      <w:pPr>
        <w:pStyle w:val="BodyText"/>
      </w:pPr>
      <w:r>
        <w:t xml:space="preserve">33.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pPr>
        <w:pStyle w:val="BodyText"/>
      </w:pPr>
      <w:r>
        <w:t xml:space="preserve">34. Доход, полученный в иностранной валюте, указывается в рублях по курсу Банка России на дату получения дохода.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w:t>
      </w:r>
      <w:r>
        <w:t xml:space="preserve"> </w:t>
      </w:r>
      <w:hyperlink r:id="rId23">
        <w:r>
          <w:rPr>
            <w:rStyle w:val="Hyperlink"/>
          </w:rPr>
          <w:t xml:space="preserve">http://www.cbr.ru/currency_base/daily.aspx</w:t>
        </w:r>
      </w:hyperlink>
      <w:r>
        <w:t xml:space="preserve">.</w:t>
      </w:r>
    </w:p>
    <w:p>
      <w:pPr>
        <w:pStyle w:val="BodyText"/>
      </w:pPr>
      <w:r>
        <w:t xml:space="preserve">35. Не рекомендуется проводить какие-либо самостоятельные расчеты, поскольку вероятно возникновение различного рода ошибок.</w:t>
      </w:r>
    </w:p>
    <w:p>
      <w:pPr>
        <w:pStyle w:val="BodyText"/>
      </w:pPr>
      <w:r>
        <w:t xml:space="preserve">36. Особое внимание следует уделить хранению документов, связанных со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сведений, касающихся такого счета.</w:t>
      </w:r>
    </w:p>
    <w:p>
      <w:pPr>
        <w:pStyle w:val="BodyText"/>
      </w:pPr>
      <w:r>
        <w:rPr>
          <w:bCs/>
          <w:b/>
        </w:rPr>
        <w:t xml:space="preserve">Доход от ценных бумаг и долей участия в коммерческих организациях</w:t>
      </w:r>
    </w:p>
    <w:p>
      <w:pPr>
        <w:pStyle w:val="BodyText"/>
      </w:pPr>
      <w:r>
        <w:t xml:space="preserve">37. В данной строке указывается сумма доходов от ценных бумаг и долей участия в коммерческих организациях, включающая:</w:t>
      </w:r>
    </w:p>
    <w:p>
      <w:pPr>
        <w:pStyle w:val="BodyText"/>
      </w:pPr>
      <w:r>
        <w:t xml:space="preserve">а)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BodyText"/>
      </w:pPr>
      <w:r>
        <w:t xml:space="preserve">б) 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w:t>
      </w:r>
    </w:p>
    <w:p>
      <w:pPr>
        <w:pStyle w:val="BodyText"/>
      </w:pPr>
      <w:r>
        <w:t xml:space="preserve">в) доход от операций с ценными бумагами,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pPr>
        <w:pStyle w:val="BodyText"/>
      </w:pPr>
      <w:r>
        <w:rPr>
          <w:bCs/>
          <w:b/>
        </w:rPr>
        <w:t xml:space="preserve">Иные доходы</w:t>
      </w:r>
    </w:p>
    <w:p>
      <w:pPr>
        <w:pStyle w:val="BodyText"/>
      </w:pPr>
      <w:r>
        <w:t xml:space="preserve">38. В данной строке указываются доходы, которые не были отражены выше в строках 1-5. Так, например, в строке иные доходы могут быть указаны:</w:t>
      </w:r>
    </w:p>
    <w:p>
      <w:pPr>
        <w:pStyle w:val="BodyText"/>
      </w:pPr>
      <w:r>
        <w:t xml:space="preserve">а) пенсия;</w:t>
      </w:r>
    </w:p>
    <w:p>
      <w:pPr>
        <w:pStyle w:val="BodyText"/>
      </w:pPr>
      <w:r>
        <w:t xml:space="preserve">б)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pPr>
        <w:pStyle w:val="BodyText"/>
      </w:pPr>
      <w:r>
        <w:t xml:space="preserve">в)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2-НДФЛ, выдаваемую по месту службы (работы);</w:t>
      </w:r>
    </w:p>
    <w:p>
      <w:pPr>
        <w:pStyle w:val="BodyText"/>
      </w:pPr>
      <w:r>
        <w:t xml:space="preserve">г) государственный сертификат на материнский (семейный) капитал (в случае если в отчетном периоде данный сертификат либо его часть был реализован);</w:t>
      </w:r>
    </w:p>
    <w:p>
      <w:pPr>
        <w:pStyle w:val="BodyText"/>
      </w:pPr>
      <w:r>
        <w:t xml:space="preserve">д) алименты;</w:t>
      </w:r>
    </w:p>
    <w:p>
      <w:pPr>
        <w:pStyle w:val="BodyText"/>
      </w:pPr>
      <w:r>
        <w:t xml:space="preserve">е) стипендия;</w:t>
      </w:r>
    </w:p>
    <w:p>
      <w:pPr>
        <w:pStyle w:val="BodyText"/>
      </w:pPr>
      <w:r>
        <w:t xml:space="preserve">ж) единовременная субсидия на приобретение жилого помещения (в случае если в отчетном периоде денежные средства перечислены со счета № 40302 на счет продавца) и иные аналогичные выплаты, например денежные средства, полученные участником накопительно-ипотечной системы жилищного обеспечения военнослужащих;</w:t>
      </w:r>
    </w:p>
    <w:p>
      <w:pPr>
        <w:pStyle w:val="BodyText"/>
      </w:pPr>
      <w:r>
        <w:t xml:space="preserve">з) доходы, полученные от сдачи в аренду или иного использования имущества, в том числе доходы, полученные от имущества, переданного в доверительное управление (траст);</w:t>
      </w:r>
    </w:p>
    <w:p>
      <w:pPr>
        <w:pStyle w:val="BodyText"/>
      </w:pPr>
      <w:r>
        <w:t xml:space="preserve">и) доходы от реализации недвижимого и иного имущества. При этом могут быть указаны вид и адрес проданного недвижимого имущества, вид и марка проданного транспортного средства (в том числе в случае зачета стоимости старого транспортного средства в стоимость при покупке нового);</w:t>
      </w:r>
    </w:p>
    <w:p>
      <w:pPr>
        <w:pStyle w:val="BodyText"/>
      </w:pPr>
      <w:r>
        <w:t xml:space="preserve">к) доходы, полученные от использования транспортных средств;</w:t>
      </w:r>
    </w:p>
    <w:p>
      <w:pPr>
        <w:pStyle w:val="BodyText"/>
      </w:pPr>
      <w:r>
        <w:t xml:space="preserve">л) доходы от продажи ценных бумаг и долей участия в коммерческих организациях. При этом могут быть указаны вид ценной бумаги, лицо ее выпустившее, проданное количество, наименование организации и проданное количество акций или размер доли участия и др.;</w:t>
      </w:r>
    </w:p>
    <w:p>
      <w:pPr>
        <w:pStyle w:val="BodyText"/>
      </w:pPr>
      <w:r>
        <w:t xml:space="preserve">м)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pPr>
        <w:pStyle w:val="BodyText"/>
      </w:pPr>
      <w:r>
        <w:t xml:space="preserve">н) вознаграждения по гражданско-правовым договорам (если только данный доход уже не указан в пункте 2 настоящего раздела справки). При этом рекомендуется указывать наименование и юридический адрес организации, от которой был получен доход;</w:t>
      </w:r>
    </w:p>
    <w:p>
      <w:pPr>
        <w:pStyle w:val="BodyText"/>
      </w:pPr>
      <w:r>
        <w:t xml:space="preserve">о)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w:t>
      </w:r>
    </w:p>
    <w:p>
      <w:pPr>
        <w:pStyle w:val="BodyText"/>
      </w:pPr>
      <w:r>
        <w:t xml:space="preserve">п) денежные средства, полученные в порядке дарения или наследования;</w:t>
      </w:r>
    </w:p>
    <w:p>
      <w:pPr>
        <w:pStyle w:val="BodyText"/>
      </w:pPr>
      <w:r>
        <w:t xml:space="preserve">р) возмещение вреда, причиненного увечьем или иным повреждением здоровья;</w:t>
      </w:r>
    </w:p>
    <w:p>
      <w:pPr>
        <w:pStyle w:val="BodyText"/>
      </w:pPr>
      <w:r>
        <w:t xml:space="preserve">с) возмещение расходов на повышение профессионального уровня;</w:t>
      </w:r>
    </w:p>
    <w:p>
      <w:pPr>
        <w:pStyle w:val="BodyText"/>
      </w:pPr>
      <w:r>
        <w:t xml:space="preserve">т) выплаты, связанные с гибелью (смертью), выплаченные наследникам;</w:t>
      </w:r>
    </w:p>
    <w:p>
      <w:pPr>
        <w:pStyle w:val="BodyText"/>
      </w:pPr>
      <w:r>
        <w:t xml:space="preserve">у) страховые выплаты при наступлении страхового случая;</w:t>
      </w:r>
    </w:p>
    <w:p>
      <w:pPr>
        <w:pStyle w:val="BodyText"/>
      </w:pPr>
      <w:r>
        <w:t xml:space="preserve">ф) выплаты, связанные с увольнением (компенсации за неиспользованный отпуск, суммы выплат средних месячных заработков, выходное пособие и т.д.), в случае если данные выплаты не были включены в справку 2-НДФЛ по месту службы (работы);</w:t>
      </w:r>
    </w:p>
    <w:p>
      <w:pPr>
        <w:pStyle w:val="BodyText"/>
      </w:pPr>
      <w:r>
        <w:t xml:space="preserve">х) вознаграждения донорам за сданную кровь, ее компоненты (и иную помощь) при условии возмездной сдачи;</w:t>
      </w:r>
    </w:p>
    <w:p>
      <w:pPr>
        <w:pStyle w:val="BodyText"/>
      </w:pPr>
      <w:r>
        <w:t xml:space="preserve">ц) денежные средства, полученные в качестве благотворительной помощи для покупки лекарств, оплаты медицинских услуг. Если для их получения открывался счет на имя служащего (работника), его супруги или несовершеннолетнего ребенка, то данную информацию необходимо также отразить в разделе 4 справки;</w:t>
      </w:r>
    </w:p>
    <w:p>
      <w:pPr>
        <w:pStyle w:val="BodyText"/>
      </w:pPr>
      <w:r>
        <w:t xml:space="preserve">ч) суммы полной или частичной компенсации своим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pPr>
        <w:pStyle w:val="BodyText"/>
      </w:pPr>
      <w:r>
        <w:t xml:space="preserve">ш) выигрыши в лотереях, тотализаторах, конкурсах и иных играх.</w:t>
      </w:r>
    </w:p>
    <w:p>
      <w:pPr>
        <w:pStyle w:val="BodyText"/>
      </w:pPr>
      <w:r>
        <w:t xml:space="preserve">39. Формой справки не предусмотрено указание товаров, услуг, полученных в натуральной форме.</w:t>
      </w:r>
    </w:p>
    <w:p>
      <w:pPr>
        <w:pStyle w:val="BodyText"/>
      </w:pPr>
      <w:r>
        <w:t xml:space="preserve">40. С учетом целей антикоррупционного законодательства в строке 6</w:t>
      </w:r>
      <w:r>
        <w:t xml:space="preserve"> </w:t>
      </w:r>
      <w:r>
        <w:rPr>
          <w:bCs/>
          <w:b/>
        </w:rPr>
        <w:t xml:space="preserve">«Иные доходы» не указываются</w:t>
      </w:r>
      <w:r>
        <w:t xml:space="preserve"> </w:t>
      </w:r>
      <w:r>
        <w:t xml:space="preserve">сведения о денежных средствах, касающихся возмещения расходов, связанных:</w:t>
      </w:r>
    </w:p>
    <w:p>
      <w:pPr>
        <w:pStyle w:val="BodyText"/>
      </w:pPr>
      <w:r>
        <w:t xml:space="preserve">а) со служебными командировками;</w:t>
      </w:r>
    </w:p>
    <w:p>
      <w:pPr>
        <w:pStyle w:val="BodyText"/>
      </w:pPr>
      <w:r>
        <w:t xml:space="preserve">б)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BodyText"/>
      </w:pPr>
      <w:r>
        <w:t xml:space="preserve">в) с оплатой стоимости и (или) выдачи полагающегося натурального довольствия, а также выплаты денежных средств взамен этого довольствия;</w:t>
      </w:r>
    </w:p>
    <w:p>
      <w:pPr>
        <w:pStyle w:val="BodyText"/>
      </w:pPr>
      <w:r>
        <w:t xml:space="preserve">г) с приобретением проездных документов для исполнения служебных (должностных) обязанностей.</w:t>
      </w:r>
    </w:p>
    <w:p>
      <w:pPr>
        <w:pStyle w:val="BodyText"/>
      </w:pPr>
      <w:r>
        <w:t xml:space="preserve">Также не указываются сведения о денежных средствах, полученных:</w:t>
      </w:r>
    </w:p>
    <w:p>
      <w:pPr>
        <w:pStyle w:val="BodyText"/>
      </w:pPr>
      <w:r>
        <w:t xml:space="preserve">д) в виде социального, имущественного налогового вычета;</w:t>
      </w:r>
    </w:p>
    <w:p>
      <w:pPr>
        <w:pStyle w:val="BodyText"/>
      </w:pPr>
      <w:r>
        <w:t xml:space="preserve">е) от участия в программе софинансирования пенсии (доходы, полученные от инвестирования средств, направленных на формирование накопительной части трудовой пенсии в негосударственном пенсионном фонде, а также от участия в программе софинансирования пенсии);</w:t>
      </w:r>
    </w:p>
    <w:p>
      <w:pPr>
        <w:pStyle w:val="BodyText"/>
      </w:pPr>
      <w:r>
        <w:t xml:space="preserve">ж) от продажи различного вида сертификатов (подарочных карт);</w:t>
      </w:r>
    </w:p>
    <w:p>
      <w:pPr>
        <w:pStyle w:val="BodyText"/>
      </w:pPr>
      <w:r>
        <w:t xml:space="preserve">з)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w:t>
      </w:r>
    </w:p>
    <w:p>
      <w:pPr>
        <w:pStyle w:val="BodyText"/>
      </w:pPr>
      <w:r>
        <w:rPr>
          <w:bCs/>
          <w:b/>
        </w:rPr>
        <w:t xml:space="preserve">РАЗДЕЛ 2. СВЕДЕНИЯ О РАСХОДАХ</w:t>
      </w:r>
    </w:p>
    <w:p>
      <w:pPr>
        <w:pStyle w:val="BodyText"/>
      </w:pPr>
      <w:r>
        <w:t xml:space="preserve">41. Данный раздел справки</w:t>
      </w:r>
      <w:r>
        <w:t xml:space="preserve"> </w:t>
      </w:r>
      <w:r>
        <w:rPr>
          <w:bCs/>
          <w:b/>
        </w:rPr>
        <w:t xml:space="preserve">заполняется только</w:t>
      </w:r>
      <w:r>
        <w:t xml:space="preserve"> </w:t>
      </w:r>
      <w:r>
        <w:t xml:space="preserve">в случае, если в отчетном периоде служащим (работником),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2015 году сообщаются сведения о сделках, совершенных в 2014 году.</w:t>
      </w:r>
    </w:p>
    <w:p>
      <w:pPr>
        <w:pStyle w:val="BodyText"/>
      </w:pPr>
      <w:r>
        <w:t xml:space="preserve">42.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2014 году, суммируются доходы служащего (работника) и его супруги (супруга), полученные в 2011, 2012 и 2013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w:t>
      </w:r>
    </w:p>
    <w:p>
      <w:pPr>
        <w:pStyle w:val="BodyText"/>
      </w:pPr>
      <w:r>
        <w:t xml:space="preserve">43. В случае, если сведения о расходах представляются, например, за 2014 г. и по состоянию на 31 декабря 2014 г. служащий (работник) не состоял в браке, то расчет суммы общего дохода осуществляется исходя только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 Для его подтверждения могут быть рассмотрены справки о доходах супруги (супруга), которые представлялись служащим (работником) в период нахождения в браке (за 2011, 2012, 2013 гг.).</w:t>
      </w:r>
    </w:p>
    <w:p>
      <w:pPr>
        <w:pStyle w:val="BodyText"/>
      </w:pPr>
      <w:r>
        <w:t xml:space="preserve">44.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pPr>
        <w:pStyle w:val="BodyText"/>
      </w:pPr>
      <w:r>
        <w:t xml:space="preserve">45. Данный раздел</w:t>
      </w:r>
      <w:r>
        <w:t xml:space="preserve"> </w:t>
      </w:r>
      <w:r>
        <w:rPr>
          <w:bCs/>
          <w:b/>
        </w:rPr>
        <w:t xml:space="preserve">не заполняется</w:t>
      </w:r>
      <w:r>
        <w:t xml:space="preserve"> </w:t>
      </w:r>
      <w:r>
        <w:t xml:space="preserve">в следующих случаях:</w:t>
      </w:r>
    </w:p>
    <w:p>
      <w:pPr>
        <w:pStyle w:val="BodyText"/>
      </w:pPr>
      <w:r>
        <w:t xml:space="preserve">а) гражданин представляет сведения в связи с назначением на должность;</w:t>
      </w:r>
    </w:p>
    <w:p>
      <w:pPr>
        <w:pStyle w:val="BodyText"/>
      </w:pPr>
      <w:r>
        <w:t xml:space="preserve">б)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pPr>
        <w:pStyle w:val="BodyText"/>
      </w:pPr>
      <w:r>
        <w:t xml:space="preserve">в)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приобретено в результате совершения безвозмездной сделки (наследование, дарение). При этом такое имущество отражается в соответствующих подразделах и разделах справки.</w:t>
      </w:r>
    </w:p>
    <w:p>
      <w:pPr>
        <w:pStyle w:val="BodyText"/>
      </w:pPr>
      <w:r>
        <w:t xml:space="preserve">46. При заполнении графы «</w:t>
      </w:r>
      <w:r>
        <w:rPr>
          <w:bCs/>
          <w:b/>
        </w:rPr>
        <w:t xml:space="preserve">Вид приобретенного имущества</w:t>
      </w:r>
      <w:r>
        <w:t xml:space="preserve">» указывается, например, земельный участок, предоставленный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pPr>
        <w:pStyle w:val="BodyText"/>
      </w:pPr>
      <w:r>
        <w:t xml:space="preserve">47. При заполнении графы «</w:t>
      </w:r>
      <w:r>
        <w:rPr>
          <w:bCs/>
          <w:b/>
        </w:rPr>
        <w:t xml:space="preserve">Источник получения средств, за счет которых приобретено имущество</w:t>
      </w:r>
      <w:r>
        <w:t xml:space="preserve">» рекомендуется учитывать, что источников получения средств, за счет которых приобретено имущество, может быть несколько, например:</w:t>
      </w:r>
    </w:p>
    <w:p>
      <w:pPr>
        <w:pStyle w:val="BodyText"/>
      </w:pPr>
      <w:r>
        <w:t xml:space="preserve">а) доход по основному месту работы служащего (работника), его супруги (супруга);</w:t>
      </w:r>
    </w:p>
    <w:p>
      <w:pPr>
        <w:pStyle w:val="BodyText"/>
      </w:pPr>
      <w:r>
        <w:t xml:space="preserve">б) доход от иной разрешенной законом деятельности;</w:t>
      </w:r>
    </w:p>
    <w:p>
      <w:pPr>
        <w:pStyle w:val="BodyText"/>
      </w:pPr>
      <w:r>
        <w:t xml:space="preserve">в) доход от вкладов в банках и иных кредитных организациях;</w:t>
      </w:r>
    </w:p>
    <w:p>
      <w:pPr>
        <w:pStyle w:val="BodyText"/>
      </w:pPr>
      <w:r>
        <w:t xml:space="preserve">г) накопления за предыдущие годы;</w:t>
      </w:r>
    </w:p>
    <w:p>
      <w:pPr>
        <w:pStyle w:val="BodyText"/>
      </w:pPr>
      <w:r>
        <w:t xml:space="preserve">д) наследство;</w:t>
      </w:r>
    </w:p>
    <w:p>
      <w:pPr>
        <w:pStyle w:val="BodyText"/>
      </w:pPr>
      <w:r>
        <w:t xml:space="preserve">е) дар;</w:t>
      </w:r>
    </w:p>
    <w:p>
      <w:pPr>
        <w:pStyle w:val="BodyText"/>
      </w:pPr>
      <w:r>
        <w:t xml:space="preserve">ж) заем;</w:t>
      </w:r>
    </w:p>
    <w:p>
      <w:pPr>
        <w:pStyle w:val="BodyText"/>
      </w:pPr>
      <w:r>
        <w:t xml:space="preserve">з) ипотека;</w:t>
      </w:r>
    </w:p>
    <w:p>
      <w:pPr>
        <w:pStyle w:val="BodyText"/>
      </w:pPr>
      <w:r>
        <w:t xml:space="preserve">и) иные кредитные обязательства;</w:t>
      </w:r>
    </w:p>
    <w:p>
      <w:pPr>
        <w:pStyle w:val="BodyText"/>
      </w:pPr>
      <w:r>
        <w:t xml:space="preserve">к) доход от продажи имущества;</w:t>
      </w:r>
    </w:p>
    <w:p>
      <w:pPr>
        <w:pStyle w:val="BodyText"/>
      </w:pPr>
      <w:r>
        <w:t xml:space="preserve">л) доход от сдачи имущества в аренду;</w:t>
      </w:r>
    </w:p>
    <w:p>
      <w:pPr>
        <w:pStyle w:val="BodyText"/>
      </w:pPr>
      <w:r>
        <w:t xml:space="preserve">м) единовременная субсидия на приобретение жилого помещения и иные аналогичные выплаты, например денежные средства, полученные участником накопительно-ипотечной системы жилищного обеспечения военнослужащих;</w:t>
      </w:r>
    </w:p>
    <w:p>
      <w:pPr>
        <w:pStyle w:val="BodyText"/>
      </w:pPr>
      <w:r>
        <w:t xml:space="preserve">н) средства материнского (семейного) капитала.</w:t>
      </w:r>
    </w:p>
    <w:p>
      <w:pPr>
        <w:pStyle w:val="BodyText"/>
      </w:pPr>
      <w:r>
        <w:t xml:space="preserve">48.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BodyText"/>
      </w:pPr>
      <w:r>
        <w:t xml:space="preserve">49. Представление документов, подтверждающих источники получения средств, не предусмотрено.</w:t>
      </w:r>
    </w:p>
    <w:p>
      <w:pPr>
        <w:pStyle w:val="BodyText"/>
      </w:pPr>
      <w:r>
        <w:t xml:space="preserve">50. В качестве</w:t>
      </w:r>
      <w:r>
        <w:t xml:space="preserve"> </w:t>
      </w:r>
      <w:r>
        <w:rPr>
          <w:bCs/>
          <w:b/>
        </w:rPr>
        <w:t xml:space="preserve">«Основания приобретения имущества»</w:t>
      </w:r>
      <w:r>
        <w:t xml:space="preserve"> </w:t>
      </w:r>
      <w:r>
        <w:t xml:space="preserve">указываются реквизиты свидетельства о государственной регистрации права собственности на недвижимое имущество, а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w:t>
      </w:r>
    </w:p>
    <w:p>
      <w:pPr>
        <w:pStyle w:val="BodyText"/>
      </w:pPr>
      <w:r>
        <w:t xml:space="preserve">Копия вышеуказанного документа прилагается к справке.</w:t>
      </w:r>
    </w:p>
    <w:p>
      <w:pPr>
        <w:pStyle w:val="BodyText"/>
      </w:pPr>
      <w:r>
        <w:t xml:space="preserve">51.</w:t>
      </w:r>
      <w:r>
        <w:t xml:space="preserve"> </w:t>
      </w:r>
      <w:r>
        <w:rPr>
          <w:bCs/>
          <w:b/>
        </w:rPr>
        <w:t xml:space="preserve">Особенности заполнения раздела «Сведения о расходах»</w:t>
      </w:r>
      <w:r>
        <w:t xml:space="preserve">:</w:t>
      </w:r>
    </w:p>
    <w:p>
      <w:pPr>
        <w:pStyle w:val="BodyText"/>
      </w:pPr>
      <w:r>
        <w:t xml:space="preserve">а)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заключается договор участия в долевом строительстве, отражаются в сведениях о расходах после регистрации права собственности на данное имущество и в случае, если стоимость данного имущества превышает общий доход служащего (работника) и его супруги (супруга) за три последних года, предшествующих совершению сделки. Например, если право собственности на недвижимое имущество было зарегистрировано в 2014 г., то сведения о расходах отражаются в справке за 2014 г.</w:t>
      </w:r>
    </w:p>
    <w:p>
      <w:pPr>
        <w:pStyle w:val="BodyText"/>
      </w:pPr>
      <w:r>
        <w:t xml:space="preserve">До получения свидетельства 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подразделе 6.2 «Срочные обязательства финансового характера» справки. При этом не имеет значения, оформлялся ли кредитный договор с банком или иной кредитной организацией для оплаты по указанному договору.</w:t>
      </w:r>
    </w:p>
    <w:p>
      <w:pPr>
        <w:pStyle w:val="BodyText"/>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w:t>
      </w:r>
    </w:p>
    <w:p>
      <w:pPr>
        <w:pStyle w:val="BodyText"/>
      </w:pPr>
      <w:r>
        <w:t xml:space="preserve">Также следует учитывать, что после получения лицом – участником долевого строительства свидетельства о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w:t>
      </w:r>
    </w:p>
    <w:p>
      <w:pPr>
        <w:pStyle w:val="BodyText"/>
      </w:pPr>
      <w:r>
        <w:t xml:space="preserve">б)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по приобретению недвижимого имущества по договору купли-продажи пая, выплатив полностью стоимость пая, и если сумма сделки превышает доход служащего (работника) и его супруги (супруга) за три последних года, предшествующих году, в котором приобретено право собственности на указанное имущество;</w:t>
      </w:r>
    </w:p>
    <w:p>
      <w:pPr>
        <w:pStyle w:val="BodyText"/>
      </w:pPr>
      <w:r>
        <w:t xml:space="preserve">в)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BodyText"/>
      </w:pPr>
      <w:r>
        <w:rPr>
          <w:bCs/>
          <w:b/>
        </w:rPr>
        <w:t xml:space="preserve">РАЗДЕЛ 3. СВЕДЕНИЯ ОБ ИМУЩЕСТВЕ</w:t>
      </w:r>
    </w:p>
    <w:p>
      <w:pPr>
        <w:pStyle w:val="BodyText"/>
      </w:pPr>
      <w:r>
        <w:rPr>
          <w:bCs/>
          <w:b/>
        </w:rPr>
        <w:t xml:space="preserve">Подраздел 3.1 Недвижимое имущество</w:t>
      </w:r>
    </w:p>
    <w:p>
      <w:pPr>
        <w:pStyle w:val="BodyText"/>
      </w:pPr>
      <w:r>
        <w:t xml:space="preserve">52.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При этом к недвижимым вещам относятся также подлежащие государственной регистрации воздушные и морские суда, суда внутреннего плавания, космические объекты. Законом к недвижимым вещам может быть отнесено и иное имущество.</w:t>
      </w:r>
    </w:p>
    <w:p>
      <w:pPr>
        <w:pStyle w:val="BodyText"/>
      </w:pPr>
      <w:r>
        <w:t xml:space="preserve">53. 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pPr>
        <w:pStyle w:val="BodyText"/>
      </w:pPr>
      <w:r>
        <w:t xml:space="preserve">Заполнение графы</w:t>
      </w:r>
      <w:r>
        <w:t xml:space="preserve"> </w:t>
      </w:r>
      <w:r>
        <w:rPr>
          <w:bCs/>
          <w:b/>
        </w:rPr>
        <w:t xml:space="preserve">«Вид и наименование имущества»</w:t>
      </w:r>
    </w:p>
    <w:p>
      <w:pPr>
        <w:pStyle w:val="BodyText"/>
      </w:pPr>
      <w:r>
        <w:t xml:space="preserve">54. При указании сведений о</w:t>
      </w:r>
      <w:r>
        <w:t xml:space="preserve"> </w:t>
      </w:r>
      <w:r>
        <w:rPr>
          <w:bCs/>
          <w:b/>
        </w:rPr>
        <w:t xml:space="preserve">земельных участках</w:t>
      </w:r>
      <w:r>
        <w:t xml:space="preserve"> </w:t>
      </w:r>
      <w:r>
        <w:t xml:space="preserve">указывается вид земельного участка (пая, доли): под индивидуальное жилищное строительство, дачный, садовый, приусадебный, огородный и другие. При этом:</w:t>
      </w:r>
    </w:p>
    <w:p>
      <w:pPr>
        <w:pStyle w:val="BodyText"/>
      </w:pPr>
      <w:r>
        <w:t xml:space="preserve">а)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p>
    <w:p>
      <w:pPr>
        <w:pStyle w:val="BodyText"/>
      </w:pPr>
      <w:r>
        <w:t xml:space="preserve">б)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pPr>
        <w:pStyle w:val="BodyText"/>
      </w:pPr>
      <w:r>
        <w:t xml:space="preserve">в)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pPr>
        <w:pStyle w:val="BodyText"/>
      </w:pPr>
      <w:r>
        <w:t xml:space="preserve">55.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BodyText"/>
      </w:pPr>
      <w:r>
        <w:t xml:space="preserve">56.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 этажей не более чем три, предназначенный для проживания одной семьи (часть 3 статьи 48 Градостроительного кодекса Российской Федерации).</w:t>
      </w:r>
    </w:p>
    <w:p>
      <w:pPr>
        <w:pStyle w:val="BodyText"/>
      </w:pPr>
      <w:r>
        <w:t xml:space="preserve">57. В подразделе 3.1 справки земельный участок под многоквартирным домом не подлежит указанию.</w:t>
      </w:r>
    </w:p>
    <w:p>
      <w:pPr>
        <w:pStyle w:val="BodyText"/>
      </w:pPr>
      <w:r>
        <w:t xml:space="preserve">58. При наличии в собственности</w:t>
      </w:r>
      <w:r>
        <w:t xml:space="preserve"> </w:t>
      </w:r>
      <w:r>
        <w:rPr>
          <w:bCs/>
          <w:b/>
        </w:rPr>
        <w:t xml:space="preserve">жилого, дачного или садового дома,</w:t>
      </w:r>
      <w:r>
        <w:t xml:space="preserve"> </w:t>
      </w:r>
      <w:r>
        <w:t xml:space="preserve">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w:t>
      </w:r>
    </w:p>
    <w:p>
      <w:pPr>
        <w:pStyle w:val="BodyText"/>
      </w:pPr>
      <w:r>
        <w:t xml:space="preserve">59. При заполнении строки 3 «</w:t>
      </w:r>
      <w:r>
        <w:rPr>
          <w:bCs/>
          <w:b/>
        </w:rPr>
        <w:t xml:space="preserve">Квартиры</w:t>
      </w:r>
      <w:r>
        <w:t xml:space="preserve">» соответственно вносятся сведения о ней, например 2-комнатная квартира.</w:t>
      </w:r>
    </w:p>
    <w:p>
      <w:pPr>
        <w:pStyle w:val="BodyText"/>
      </w:pPr>
      <w:r>
        <w:t xml:space="preserve">60. В строке 4 «</w:t>
      </w:r>
      <w:r>
        <w:rPr>
          <w:bCs/>
          <w:b/>
        </w:rPr>
        <w:t xml:space="preserve">Гаражи</w:t>
      </w:r>
      <w:r>
        <w:t xml:space="preserve">»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w:t>
      </w:r>
    </w:p>
    <w:p>
      <w:pPr>
        <w:pStyle w:val="BodyText"/>
      </w:pPr>
      <w:r>
        <w:t xml:space="preserve">61. В графе</w:t>
      </w:r>
      <w:r>
        <w:t xml:space="preserve"> </w:t>
      </w:r>
      <w:r>
        <w:rPr>
          <w:bCs/>
          <w:b/>
        </w:rPr>
        <w:t xml:space="preserve">«Вид собственности»</w:t>
      </w:r>
      <w:r>
        <w:t xml:space="preserve"> </w:t>
      </w:r>
      <w:r>
        <w:t xml:space="preserve">указывается вид собственности на имущество (индивидуальная, общая совместная, общая долевая).</w:t>
      </w:r>
    </w:p>
    <w:p>
      <w:pPr>
        <w:pStyle w:val="BodyText"/>
      </w:pPr>
      <w:r>
        <w:t xml:space="preserve">62.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BodyText"/>
      </w:pPr>
      <w:r>
        <w:t xml:space="preserve">63. 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pPr>
        <w:pStyle w:val="BodyText"/>
      </w:pPr>
      <w:r>
        <w:t xml:space="preserve">64.</w:t>
      </w:r>
      <w:r>
        <w:t xml:space="preserve"> </w:t>
      </w:r>
      <w:r>
        <w:rPr>
          <w:bCs/>
          <w:b/>
        </w:rPr>
        <w:t xml:space="preserve">Местонахождение (адрес)</w:t>
      </w:r>
      <w:r>
        <w:t xml:space="preserve"> </w:t>
      </w:r>
      <w:r>
        <w:t xml:space="preserve">недвижимого имущества указывается согласно правоустанавливающим документам.</w:t>
      </w:r>
    </w:p>
    <w:p>
      <w:pPr>
        <w:pStyle w:val="BodyText"/>
      </w:pPr>
      <w:r>
        <w:t xml:space="preserve">65. Если правообладателем объекта недвижимого имущества является физическое лицо, то указывается:</w:t>
      </w:r>
    </w:p>
    <w:p>
      <w:pPr>
        <w:pStyle w:val="BodyText"/>
      </w:pPr>
      <w:r>
        <w:t xml:space="preserve">а) индекс;</w:t>
      </w:r>
    </w:p>
    <w:p>
      <w:pPr>
        <w:pStyle w:val="BodyText"/>
      </w:pPr>
      <w:r>
        <w:t xml:space="preserve">б) субъект Российской Федерации;</w:t>
      </w:r>
    </w:p>
    <w:p>
      <w:pPr>
        <w:pStyle w:val="BodyText"/>
      </w:pPr>
      <w:r>
        <w:t xml:space="preserve">в) район;</w:t>
      </w:r>
    </w:p>
    <w:p>
      <w:pPr>
        <w:pStyle w:val="BodyText"/>
      </w:pPr>
      <w:r>
        <w:t xml:space="preserve">г) город иной населенный пункт (село, поселок и т.д.);</w:t>
      </w:r>
    </w:p>
    <w:p>
      <w:pPr>
        <w:pStyle w:val="BodyText"/>
      </w:pPr>
      <w:r>
        <w:t xml:space="preserve">д) улица (проспект, переулок и т.д.);</w:t>
      </w:r>
    </w:p>
    <w:p>
      <w:pPr>
        <w:pStyle w:val="BodyText"/>
      </w:pPr>
      <w:r>
        <w:t xml:space="preserve">е) номер дома (владения, участка), корпуса (строения), квартиры.</w:t>
      </w:r>
    </w:p>
    <w:p>
      <w:pPr>
        <w:pStyle w:val="BodyText"/>
      </w:pPr>
      <w:r>
        <w:t xml:space="preserve">66. Если недвижимость находится за рубежом, то указывается:</w:t>
      </w:r>
    </w:p>
    <w:p>
      <w:pPr>
        <w:pStyle w:val="BodyText"/>
      </w:pPr>
      <w:r>
        <w:t xml:space="preserve">а) наименование государства;</w:t>
      </w:r>
    </w:p>
    <w:p>
      <w:pPr>
        <w:pStyle w:val="BodyText"/>
      </w:pPr>
      <w:r>
        <w:t xml:space="preserve">б) населенный пункт (иная единица административно-территориального деления);</w:t>
      </w:r>
    </w:p>
    <w:p>
      <w:pPr>
        <w:pStyle w:val="BodyText"/>
      </w:pPr>
      <w:r>
        <w:t xml:space="preserve">в) почтовый адрес.</w:t>
      </w:r>
    </w:p>
    <w:p>
      <w:pPr>
        <w:pStyle w:val="BodyText"/>
      </w:pPr>
      <w:r>
        <w:t xml:space="preserve">67.</w:t>
      </w:r>
      <w:r>
        <w:t xml:space="preserve"> </w:t>
      </w:r>
      <w:r>
        <w:rPr>
          <w:bCs/>
          <w:b/>
        </w:rPr>
        <w:t xml:space="preserve">Площадь</w:t>
      </w:r>
      <w:r>
        <w:t xml:space="preserve"> </w:t>
      </w:r>
      <w:r>
        <w:t xml:space="preserve">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данной недвижимости, а не площадь доли.</w:t>
      </w:r>
    </w:p>
    <w:p>
      <w:pPr>
        <w:pStyle w:val="BodyText"/>
      </w:pPr>
      <w:r>
        <w:rPr>
          <w:bCs/>
          <w:b/>
        </w:rPr>
        <w:t xml:space="preserve">Основание приобретения и источники средств</w:t>
      </w:r>
    </w:p>
    <w:p>
      <w:pPr>
        <w:pStyle w:val="BodyText"/>
      </w:pPr>
      <w:r>
        <w:t xml:space="preserve">68. Для каждого объекта недвижимого имущества указывается основание приобретения, то есть реквизиты свидетельства о государственной регистрации права собственности или документа, являющегося законным основанием для возникновения права собственности.</w:t>
      </w:r>
    </w:p>
    <w:p>
      <w:pPr>
        <w:pStyle w:val="BodyText"/>
      </w:pPr>
      <w:r>
        <w:t xml:space="preserve">69. Обязанность сообщать сведения об</w:t>
      </w:r>
      <w:r>
        <w:t xml:space="preserve"> </w:t>
      </w:r>
      <w:r>
        <w:rPr>
          <w:bCs/>
          <w:b/>
        </w:rPr>
        <w:t xml:space="preserve">источнике средств</w:t>
      </w:r>
      <w:r>
        <w:t xml:space="preserve">, за счет которых приобретено имущество, находящееся за пределами территории Российской Федерации, распространяется только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pPr>
        <w:pStyle w:val="BodyText"/>
      </w:pPr>
      <w:r>
        <w:t xml:space="preserve">лиц, замещающих (занимающих):</w:t>
      </w:r>
    </w:p>
    <w:p>
      <w:pPr>
        <w:pStyle w:val="BodyText"/>
      </w:pPr>
      <w:bookmarkStart w:id="24" w:name="Par1"/>
      <w:bookmarkEnd w:id="24"/>
      <w:r>
        <w:t xml:space="preserve"> </w:t>
      </w:r>
      <w:r>
        <w:t xml:space="preserve">а) государственные должности Российской Федерации;</w:t>
      </w:r>
    </w:p>
    <w:p>
      <w:pPr>
        <w:pStyle w:val="BodyText"/>
      </w:pPr>
      <w:r>
        <w:t xml:space="preserve">б) должности первого заместителя и заместителей Генерального прокурора Российской Федерации;</w:t>
      </w:r>
    </w:p>
    <w:p>
      <w:pPr>
        <w:pStyle w:val="BodyText"/>
      </w:pPr>
      <w:r>
        <w:t xml:space="preserve">в) должности членов Совета директоров Центрального банка Российской Федерации;</w:t>
      </w:r>
    </w:p>
    <w:p>
      <w:pPr>
        <w:pStyle w:val="BodyText"/>
      </w:pPr>
      <w:r>
        <w:t xml:space="preserve">г) государственные должности субъектов Российской Федерации;</w:t>
      </w:r>
    </w:p>
    <w:p>
      <w:pPr>
        <w:pStyle w:val="BodyText"/>
      </w:pPr>
      <w: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BodyText"/>
      </w:pPr>
      <w:r>
        <w:t xml:space="preserve">е) должности заместителей руководителей федеральных органов исполнительной власти;</w:t>
      </w:r>
    </w:p>
    <w:p>
      <w:pPr>
        <w:pStyle w:val="BodyText"/>
      </w:pPr>
      <w:r>
        <w:t xml:space="preserve">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BodyText"/>
      </w:pPr>
      <w:bookmarkStart w:id="25" w:name="Par8"/>
      <w:bookmarkEnd w:id="25"/>
      <w:r>
        <w:t xml:space="preserve"> </w:t>
      </w:r>
      <w:r>
        <w:t xml:space="preserve">з) должности глав городских округов, глав муниципальных районов;</w:t>
      </w:r>
    </w:p>
    <w:p>
      <w:pPr>
        <w:pStyle w:val="BodyText"/>
      </w:pPr>
      <w:r>
        <w:t xml:space="preserve">супруг и несовершеннолетних детей лиц, указанных в</w:t>
      </w:r>
      <w:r>
        <w:t xml:space="preserve"> </w:t>
      </w:r>
      <w:hyperlink r:id="rId26">
        <w:r>
          <w:rPr>
            <w:rStyle w:val="Hyperlink"/>
          </w:rPr>
          <w:t xml:space="preserve">подпунктах «а</w:t>
        </w:r>
      </w:hyperlink>
      <w:r>
        <w:t xml:space="preserve">» -</w:t>
      </w:r>
      <w:r>
        <w:t xml:space="preserve"> </w:t>
      </w:r>
      <w:hyperlink r:id="rId27">
        <w:r>
          <w:rPr>
            <w:rStyle w:val="Hyperlink"/>
          </w:rPr>
          <w:t xml:space="preserve">«з»</w:t>
        </w:r>
      </w:hyperlink>
      <w:r>
        <w:t xml:space="preserve"> </w:t>
      </w:r>
      <w:r>
        <w:t xml:space="preserve">настоящего пункта;</w:t>
      </w:r>
    </w:p>
    <w:p>
      <w:pPr>
        <w:pStyle w:val="BodyText"/>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указанных в данном подпункте лиц вышеуказанный запрет на распространяется);</w:t>
      </w:r>
    </w:p>
    <w:p>
      <w:pPr>
        <w:pStyle w:val="BodyText"/>
      </w:pPr>
      <w:r>
        <w:t xml:space="preserve">иных лиц в случаях, предусмотренных федеральными законами.</w:t>
      </w:r>
    </w:p>
    <w:p>
      <w:pPr>
        <w:pStyle w:val="BodyText"/>
      </w:pPr>
      <w:r>
        <w:rPr>
          <w:bCs/>
          <w:b/>
        </w:rPr>
        <w:t xml:space="preserve">Подраздел 3.2. Транспортные средства</w:t>
      </w:r>
    </w:p>
    <w:p>
      <w:pPr>
        <w:pStyle w:val="BodyText"/>
      </w:pPr>
      <w:r>
        <w:t xml:space="preserve">70.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утилизированные и т.д., собственником которых является служащий (работник), члены его семьи, также подлежат указанию в справке.</w:t>
      </w:r>
    </w:p>
    <w:p>
      <w:pPr>
        <w:pStyle w:val="BodyText"/>
      </w:pPr>
      <w:r>
        <w:t xml:space="preserve">71.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 средств» (в редакции приказа МВД России от 7 августа 2013 г. № 605).</w:t>
      </w:r>
    </w:p>
    <w:p>
      <w:pPr>
        <w:pStyle w:val="BodyText"/>
      </w:pPr>
      <w:r>
        <w:t xml:space="preserve">72.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w:t>
      </w:r>
    </w:p>
    <w:p>
      <w:pPr>
        <w:pStyle w:val="BodyText"/>
      </w:pPr>
      <w:r>
        <w:t xml:space="preserve">73. При заполнении графы</w:t>
      </w:r>
      <w:r>
        <w:t xml:space="preserve"> </w:t>
      </w:r>
      <w:r>
        <w:rPr>
          <w:bCs/>
          <w:b/>
        </w:rPr>
        <w:t xml:space="preserve">«Место регистрации»</w:t>
      </w:r>
      <w:r>
        <w:t xml:space="preserve"> </w:t>
      </w:r>
      <w:r>
        <w:t xml:space="preserve">указывается наименование органа внутренних дел, осуществившего регистрационный учет транспортного средства, например</w:t>
      </w:r>
      <w:r>
        <w:t xml:space="preserve"> </w:t>
      </w:r>
      <w:hyperlink r:id="rId28">
        <w:r>
          <w:rPr>
            <w:rStyle w:val="Hyperlink"/>
          </w:rPr>
          <w:t xml:space="preserve">МО ГИБДД ТНРЭР № 2 ГУ МВД России по г. Москве</w:t>
        </w:r>
      </w:hyperlink>
      <w:r>
        <w:t xml:space="preserve">,</w:t>
      </w:r>
      <w:r>
        <w:t xml:space="preserve"> </w:t>
      </w:r>
      <w:hyperlink r:id="rId29">
        <w:r>
          <w:rPr>
            <w:rStyle w:val="Hyperlink"/>
          </w:rPr>
          <w:t xml:space="preserve">ОГИБДД ММО МВД России «Шалинский</w:t>
        </w:r>
      </w:hyperlink>
      <w:r>
        <w:t xml:space="preserve">»,</w:t>
      </w:r>
      <w:r>
        <w:t xml:space="preserve"> </w:t>
      </w:r>
      <w:hyperlink r:id="rId30">
        <w:r>
          <w:rPr>
            <w:rStyle w:val="Hyperlink"/>
          </w:rPr>
          <w:t xml:space="preserve">ОГИБДД ММО МВД России по Новолялинскому району</w:t>
        </w:r>
      </w:hyperlink>
      <w:r>
        <w:t xml:space="preserve">, 3 отд. МОТОТРЭР ГИБДД УВД по ЦАО г. Москвы и т.д. Указанные данные заполняются согласно свидетельству о регистрации транспортного средства.</w:t>
      </w:r>
    </w:p>
    <w:p>
      <w:pPr>
        <w:pStyle w:val="BodyText"/>
      </w:pPr>
      <w:r>
        <w:rPr>
          <w:bCs/>
          <w:b/>
        </w:rPr>
        <w:t xml:space="preserve">РАЗДЕЛ 4. СВЕДЕНИЯ О СЧЕТАХ В БАНКАХ И ИНЫХ КРЕДИТНЫХ ОРГАНИЗАЦИЯХ</w:t>
      </w:r>
    </w:p>
    <w:p>
      <w:pPr>
        <w:pStyle w:val="BodyText"/>
      </w:pPr>
      <w:r>
        <w:t xml:space="preserve">74. В данном разделе справки отражаются как счета, открытые служащим (работником), членом его семьи, являющимся клиентом банка, так и счета, на которых находятся денежные средства, принадлежащие служащему (работнику), члену его семьи (или права на которые принадлежат данному лицу), при этом данный служащий (работник), член его семьи не является клиентом банка.</w:t>
      </w:r>
    </w:p>
    <w:p>
      <w:pPr>
        <w:pStyle w:val="BodyText"/>
      </w:pPr>
      <w:r>
        <w:t xml:space="preserve">75. 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открываемые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
    <w:p>
      <w:pPr>
        <w:pStyle w:val="BodyText"/>
      </w:pPr>
      <w:r>
        <w:t xml:space="preserve">76.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pPr>
        <w:pStyle w:val="BodyText"/>
      </w:pPr>
      <w:r>
        <w:t xml:space="preserve">77. 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w:t>
      </w:r>
      <w:r>
        <w:t xml:space="preserve"> </w:t>
      </w:r>
      <w:hyperlink r:id="rId31">
        <w:r>
          <w:rPr>
            <w:rStyle w:val="Hyperlink"/>
          </w:rPr>
          <w:t xml:space="preserve">http://www.cbr.ru/hd_base/?PrtId=metall_base_new</w:t>
        </w:r>
      </w:hyperlink>
      <w:r>
        <w:t xml:space="preserve">. (Данные учетные цены применяются для целей бухгалтерского учета в кредитных организациях).</w:t>
      </w:r>
    </w:p>
    <w:p>
      <w:pPr>
        <w:pStyle w:val="BodyText"/>
      </w:pPr>
      <w:r>
        <w:t xml:space="preserve">78. 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 Однако если договором с банком предусмотрено начисление процентов по денежным средствам находящимся на зарплатной карте, то счет такой зарплатной карты является депозитным.</w:t>
      </w:r>
    </w:p>
    <w:p>
      <w:pPr>
        <w:pStyle w:val="BodyText"/>
      </w:pPr>
      <w:r>
        <w:t xml:space="preserve">Кредитные карты, карты с овердрафтом</w:t>
      </w:r>
    </w:p>
    <w:p>
      <w:pPr>
        <w:pStyle w:val="BodyText"/>
      </w:pPr>
      <w:r>
        <w:t xml:space="preserve">79.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w:t>
      </w:r>
    </w:p>
    <w:p>
      <w:pPr>
        <w:pStyle w:val="BodyText"/>
      </w:pPr>
      <w:r>
        <w:t xml:space="preserve">80.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p>
    <w:p>
      <w:pPr>
        <w:pStyle w:val="BodyText"/>
      </w:pPr>
      <w:r>
        <w:t xml:space="preserve">81. В случае если задолженность по кредитной карте или овердрафту составляет более 500 тыс. рублей, то возникшее в этой связи обязательство финансового характера необходимо указать в</w:t>
      </w:r>
      <w:r>
        <w:t xml:space="preserve"> </w:t>
      </w:r>
      <w:hyperlink r:id="rId32">
        <w:r>
          <w:rPr>
            <w:rStyle w:val="Hyperlink"/>
          </w:rPr>
          <w:t xml:space="preserve">подразделе 6.2</w:t>
        </w:r>
      </w:hyperlink>
      <w:r>
        <w:t xml:space="preserve"> </w:t>
      </w:r>
      <w:r>
        <w:t xml:space="preserve">справки.</w:t>
      </w:r>
    </w:p>
    <w:p>
      <w:pPr>
        <w:pStyle w:val="BodyText"/>
      </w:pPr>
      <w:r>
        <w:rPr>
          <w:bCs/>
          <w:b/>
        </w:rPr>
        <w:t xml:space="preserve">Вид и валюта счета</w:t>
      </w:r>
    </w:p>
    <w:p>
      <w:pPr>
        <w:pStyle w:val="BodyText"/>
      </w:pPr>
      <w:r>
        <w:t xml:space="preserve">82. Виды банковских счетов определены инструкцией Банка России от 30 мая 2014 г. № 153-И «Об открытии и закрытии банковских счетов, счетов по вкладам (депозитам), депозитных счетов».</w:t>
      </w:r>
    </w:p>
    <w:p>
      <w:pPr>
        <w:pStyle w:val="BodyText"/>
      </w:pPr>
      <w:r>
        <w:t xml:space="preserve">83. Согласно данной Инструкции физическим лицам открываются следующие виды счетов (таблица № 4):</w:t>
      </w:r>
    </w:p>
    <w:tbl>
      <w:tblPr>
        <w:tblStyle w:val="Table"/>
        <w:tblW w:type="auto" w:w="0"/>
        <w:tblLook w:firstRow="0" w:lastRow="0" w:firstColumn="0" w:lastColumn="0" w:noHBand="0" w:noVBand="0" w:val="0000"/>
      </w:tblPr>
      <w:tblGrid>
        <w:gridCol w:w="3960"/>
        <w:gridCol w:w="3960"/>
      </w:tblGrid>
      <w:tr>
        <w:tc>
          <w:tcPr/>
          <w:p>
            <w:pPr>
              <w:jc w:val="left"/>
            </w:pPr>
            <w:r>
              <w:t xml:space="preserve">Текущие счета</w:t>
            </w:r>
          </w:p>
        </w:tc>
        <w:tc>
          <w:tcPr/>
          <w:p>
            <w:pPr>
              <w:jc w:val="left"/>
            </w:pPr>
            <w:r>
              <w:t xml:space="preserve">Открываются физическим лицам для совершения операций, не связанных с предпринимательской деятельностью или частной практикой</w:t>
            </w:r>
          </w:p>
        </w:tc>
      </w:tr>
      <w:tr>
        <w:tc>
          <w:tcPr/>
          <w:p>
            <w:pPr>
              <w:jc w:val="left"/>
            </w:pPr>
            <w:r>
              <w:t xml:space="preserve">Расчетные счета</w:t>
            </w:r>
          </w:p>
        </w:tc>
        <w:tc>
          <w:tcPr/>
          <w:p>
            <w:pPr>
              <w:jc w:val="left"/>
            </w:pPr>
            <w:r>
              <w:t xml:space="preserve">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w:t>
            </w:r>
          </w:p>
        </w:tc>
      </w:tr>
      <w:tr>
        <w:tc>
          <w:tcPr/>
          <w:p>
            <w:pPr>
              <w:jc w:val="left"/>
            </w:pPr>
            <w:r>
              <w:t xml:space="preserve">Счета доверительного управления</w:t>
            </w:r>
          </w:p>
        </w:tc>
        <w:tc>
          <w:tcPr/>
          <w:p>
            <w:pPr>
              <w:jc w:val="left"/>
            </w:pPr>
            <w:r>
              <w:t xml:space="preserve">Открываются доверительному управляющему для осуществления операций, связанных с деятельностью по доверительному управлению</w:t>
            </w:r>
          </w:p>
        </w:tc>
      </w:tr>
      <w:tr>
        <w:tc>
          <w:tcPr/>
          <w:p>
            <w:pPr>
              <w:jc w:val="left"/>
            </w:pPr>
            <w:r>
              <w:t xml:space="preserve">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p>
            <w:pPr>
              <w:jc w:val="left"/>
            </w:pPr>
            <w:r>
              <w:t xml:space="preserve">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w:t>
            </w:r>
          </w:p>
        </w:tc>
      </w:tr>
      <w:tr>
        <w:tc>
          <w:tcPr/>
          <w:p>
            <w:pPr>
              <w:jc w:val="left"/>
            </w:pPr>
            <w:r>
              <w:t xml:space="preserve">Депозитные счета судов, подразделений службы судебных приставов, правоохранительных органов, нотариусов</w:t>
            </w:r>
          </w:p>
        </w:tc>
        <w:tc>
          <w:tcPr/>
          <w:p>
            <w:pPr>
              <w:jc w:val="left"/>
            </w:pPr>
            <w: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w:t>
            </w:r>
          </w:p>
        </w:tc>
      </w:tr>
      <w:tr>
        <w:tc>
          <w:tcPr/>
          <w:p>
            <w:pPr>
              <w:jc w:val="left"/>
            </w:pPr>
            <w:r>
              <w:t xml:space="preserve">Счета по вкладам (депозитам)</w:t>
            </w:r>
          </w:p>
        </w:tc>
        <w:tc>
          <w:tcPr/>
          <w:p>
            <w:pPr>
              <w:jc w:val="left"/>
            </w:pPr>
            <w:r>
              <w:t xml:space="preserve">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w:t>
            </w:r>
          </w:p>
        </w:tc>
      </w:tr>
    </w:tbl>
    <w:p>
      <w:pPr>
        <w:pStyle w:val="BodyText"/>
      </w:pPr>
      <w:r>
        <w:t xml:space="preserve">84. Для получения достоверных сведений о дате открытия счета в банке (иной кредитной организации), виде такого счета следует обратиться в банк или соответствующую кредитную организацию.</w:t>
      </w:r>
    </w:p>
    <w:p>
      <w:pPr>
        <w:pStyle w:val="BodyText"/>
      </w:pPr>
      <w:r>
        <w:t xml:space="preserve">85. 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III приложения к Положению Центрального банка Российской Федерации от 16 июля 2012 г. № 385-П «О правилах ведения бухгалтерского учета в кредитных организациях, расположенных на территории Российской Федерации»).</w:t>
      </w:r>
    </w:p>
    <w:p>
      <w:pPr>
        <w:pStyle w:val="BodyText"/>
      </w:pPr>
      <w:r>
        <w:t xml:space="preserve">86.</w:t>
      </w:r>
      <w:r>
        <w:t xml:space="preserve"> </w:t>
      </w:r>
      <w:r>
        <w:rPr>
          <w:bCs/>
          <w:b/>
        </w:rPr>
        <w:t xml:space="preserve">Остаток на счете</w:t>
      </w:r>
      <w:r>
        <w:t xml:space="preserve"> </w:t>
      </w:r>
      <w:r>
        <w:t xml:space="preserve">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w:t>
      </w:r>
      <w:r>
        <w:t xml:space="preserve"> </w:t>
      </w:r>
      <w:hyperlink r:id="rId23">
        <w:r>
          <w:rPr>
            <w:rStyle w:val="Hyperlink"/>
          </w:rPr>
          <w:t xml:space="preserve">http://www.cbr.ru/currency_base/daily.aspx</w:t>
        </w:r>
      </w:hyperlink>
      <w:r>
        <w:t xml:space="preserve">.</w:t>
      </w:r>
    </w:p>
    <w:p>
      <w:pPr>
        <w:pStyle w:val="BodyText"/>
      </w:pPr>
      <w:r>
        <w:t xml:space="preserve">87. Графа</w:t>
      </w:r>
      <w:r>
        <w:t xml:space="preserve"> </w:t>
      </w:r>
      <w:r>
        <w:rPr>
          <w:bCs/>
          <w:b/>
        </w:rPr>
        <w:t xml:space="preserve">«Сумма поступивших на счет денежных средств»</w:t>
      </w:r>
      <w:r>
        <w:t xml:space="preserve"> </w:t>
      </w:r>
      <w:r>
        <w:t xml:space="preserve">заполняется</w:t>
      </w:r>
      <w:r>
        <w:t xml:space="preserve"> </w:t>
      </w:r>
      <w:r>
        <w:rPr>
          <w:bCs/>
          <w:b/>
        </w:rPr>
        <w:t xml:space="preserve">только</w:t>
      </w:r>
      <w:r>
        <w:t xml:space="preserve"> </w:t>
      </w:r>
      <w:r>
        <w:t xml:space="preserve">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2015 году указывается общая сумма денежных средств, поступивших на счет в 2014 году, если эта сумма превышает общий доход служащего (работника) и его супруги (супруга) за 2012, 2013 и 2014 годы. В этом случае к справке прилагается выписка о движении денежных средств по данному счету за отчетный период. При этом в данной графе следует сделать специальную пометку «Выписка от _______</w:t>
      </w:r>
    </w:p>
    <w:p>
      <w:pPr>
        <w:pStyle w:val="BodyText"/>
      </w:pPr>
      <w:r>
        <w:t xml:space="preserve">№ прилагается на л.».</w:t>
      </w:r>
    </w:p>
    <w:p>
      <w:pPr>
        <w:pStyle w:val="BodyText"/>
      </w:pPr>
      <w:r>
        <w:t xml:space="preserve">88. Для счетов в иностранной валюте сумма указывается в рублях по курсу Банка России на отчетную дату.</w:t>
      </w:r>
    </w:p>
    <w:p>
      <w:pPr>
        <w:pStyle w:val="BodyText"/>
      </w:pPr>
      <w:r>
        <w:rPr>
          <w:bCs/>
          <w:b/>
        </w:rPr>
        <w:t xml:space="preserve">Ликвидация кредитной организации</w:t>
      </w:r>
    </w:p>
    <w:p>
      <w:pPr>
        <w:pStyle w:val="BodyText"/>
      </w:pPr>
      <w:r>
        <w:t xml:space="preserve">89. 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
    <w:p>
      <w:pPr>
        <w:pStyle w:val="BodyText"/>
      </w:pPr>
      <w:r>
        <w:t xml:space="preserve">90.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Реестр следует обратиться в Федеральную налоговую службу или ее территориальный орган за соответствующей выпиской.</w:t>
      </w:r>
    </w:p>
    <w:p>
      <w:pPr>
        <w:pStyle w:val="BodyText"/>
      </w:pPr>
      <w:r>
        <w:t xml:space="preserve">91. В данном разделе</w:t>
      </w:r>
      <w:r>
        <w:t xml:space="preserve"> </w:t>
      </w:r>
      <w:r>
        <w:rPr>
          <w:bCs/>
          <w:b/>
        </w:rPr>
        <w:t xml:space="preserve">не указываются счета</w:t>
      </w:r>
      <w: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брокерские счета,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 деньги», «Qiwi кошелек» и др.</w:t>
      </w:r>
    </w:p>
    <w:p>
      <w:pPr>
        <w:pStyle w:val="BodyText"/>
      </w:pPr>
      <w:r>
        <w:rPr>
          <w:bCs/>
          <w:b/>
        </w:rPr>
        <w:t xml:space="preserve">РАЗДЕЛ 5. СВЕДЕНИЯ О ЦЕННЫХ БУМАГАХ</w:t>
      </w:r>
    </w:p>
    <w:p>
      <w:pPr>
        <w:pStyle w:val="BodyText"/>
      </w:pPr>
      <w:r>
        <w:t xml:space="preserve">92. В данном разделе указываются сведения об имеющихся ценных бумагах.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pPr>
        <w:pStyle w:val="BodyText"/>
      </w:pPr>
      <w:r>
        <w:rPr>
          <w:bCs/>
          <w:b/>
        </w:rPr>
        <w:t xml:space="preserve">Подраздел 5.1. Акции и иное участие в коммерческих организациях и фондах</w:t>
      </w:r>
    </w:p>
    <w:p>
      <w:pPr>
        <w:pStyle w:val="BodyText"/>
      </w:pPr>
      <w:r>
        <w:t xml:space="preserve">93. 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pPr>
        <w:pStyle w:val="BodyText"/>
      </w:pPr>
      <w:r>
        <w:t xml:space="preserve">94. В графе «</w:t>
      </w:r>
      <w:r>
        <w:rPr>
          <w:bCs/>
          <w:b/>
        </w:rPr>
        <w:t xml:space="preserve">Наименование и организационно-правовая форма организации</w:t>
      </w:r>
      <w: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pPr>
        <w:pStyle w:val="BodyText"/>
      </w:pPr>
      <w:bookmarkStart w:id="33" w:name="Par619"/>
      <w:bookmarkEnd w:id="33"/>
      <w:r>
        <w:t xml:space="preserve"> </w:t>
      </w:r>
      <w:r>
        <w:t xml:space="preserve">95.</w:t>
      </w:r>
      <w:r>
        <w:t xml:space="preserve"> </w:t>
      </w:r>
      <w:r>
        <w:rPr>
          <w:bCs/>
          <w:b/>
        </w:rPr>
        <w:t xml:space="preserve">Уставный капитал</w:t>
      </w:r>
      <w:r>
        <w:t xml:space="preserve"> </w:t>
      </w:r>
      <w:r>
        <w:t xml:space="preserve">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w:t>
      </w:r>
      <w:r>
        <w:t xml:space="preserve"> </w:t>
      </w:r>
      <w:hyperlink r:id="rId23">
        <w:r>
          <w:rPr>
            <w:rStyle w:val="Hyperlink"/>
          </w:rPr>
          <w:t xml:space="preserve">http://www.cbr.ru/currency_base/daily.aspx</w:t>
        </w:r>
      </w:hyperlink>
      <w:r>
        <w:t xml:space="preserve">.</w:t>
      </w:r>
    </w:p>
    <w:p>
      <w:pPr>
        <w:pStyle w:val="BodyText"/>
      </w:pPr>
      <w:bookmarkStart w:id="34" w:name="Par620"/>
      <w:bookmarkEnd w:id="34"/>
      <w:r>
        <w:t xml:space="preserve"> </w:t>
      </w:r>
      <w:r>
        <w:t xml:space="preserve">96.</w:t>
      </w:r>
      <w:r>
        <w:t xml:space="preserve"> </w:t>
      </w:r>
      <w:r>
        <w:rPr>
          <w:bCs/>
          <w:b/>
        </w:rPr>
        <w:t xml:space="preserve">Доля участия</w:t>
      </w:r>
      <w:r>
        <w:t xml:space="preserve"> </w:t>
      </w:r>
      <w:r>
        <w:t xml:space="preserve">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rPr>
          <w:bCs/>
          <w:b/>
        </w:rPr>
        <w:t xml:space="preserve">Подраздел 5.2. Иные ценные бумаги</w:t>
      </w:r>
    </w:p>
    <w:p>
      <w:pPr>
        <w:pStyle w:val="BodyText"/>
      </w:pPr>
      <w:r>
        <w:t xml:space="preserve">97.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pPr>
        <w:pStyle w:val="BodyText"/>
      </w:pPr>
      <w:r>
        <w:t xml:space="preserve">98. В подразделе 5.2 указываются все ценные бумаги по видам (облигации, векселя и другие), за исключением акций, указанных в подразделе 5.1.</w:t>
      </w:r>
    </w:p>
    <w:p>
      <w:pPr>
        <w:pStyle w:val="BodyText"/>
      </w:pPr>
      <w:r>
        <w:t xml:space="preserve">99. В графе «</w:t>
      </w:r>
      <w:r>
        <w:rPr>
          <w:bCs/>
          <w:b/>
        </w:rPr>
        <w:t xml:space="preserve">Общая стоимость</w:t>
      </w:r>
      <w: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w:t>
      </w:r>
      <w:r>
        <w:t xml:space="preserve"> </w:t>
      </w:r>
      <w:hyperlink r:id="rId23">
        <w:r>
          <w:rPr>
            <w:rStyle w:val="Hyperlink"/>
          </w:rPr>
          <w:t xml:space="preserve">http://www.cbr.ru/currency_base/daily.aspx</w:t>
        </w:r>
      </w:hyperlink>
      <w:r>
        <w:t xml:space="preserve">.</w:t>
      </w:r>
    </w:p>
    <w:p>
      <w:pPr>
        <w:pStyle w:val="BodyText"/>
      </w:pPr>
      <w:r>
        <w:br/>
      </w:r>
    </w:p>
    <w:p>
      <w:pPr>
        <w:pStyle w:val="BodyText"/>
      </w:pPr>
    </w:p>
    <w:p>
      <w:pPr>
        <w:pStyle w:val="BodyText"/>
      </w:pPr>
      <w:r>
        <w:rPr>
          <w:bCs/>
          <w:b/>
        </w:rPr>
        <w:t xml:space="preserve">РАЗДЕЛ 6. СВЕДЕНИЯ ОБ ОБЯЗАТЕЛЬСТВАХ ИМУЩЕСТВЕННОГО ХАРАКТЕРА</w:t>
      </w:r>
    </w:p>
    <w:p>
      <w:pPr>
        <w:pStyle w:val="BodyText"/>
      </w:pPr>
      <w:r>
        <w:rPr>
          <w:bCs/>
          <w:b/>
        </w:rPr>
        <w:t xml:space="preserve">Подраздел 6.1. Объекты недвижимого имущества, находящиеся в пользовании</w:t>
      </w:r>
    </w:p>
    <w:p>
      <w:pPr>
        <w:pStyle w:val="BodyText"/>
      </w:pPr>
      <w:r>
        <w:t xml:space="preserve">100.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pPr>
        <w:pStyle w:val="BodyText"/>
      </w:pPr>
      <w:r>
        <w:t xml:space="preserve">В том числе указанию подлежат сведения:</w:t>
      </w:r>
    </w:p>
    <w:p>
      <w:pPr>
        <w:pStyle w:val="BodyText"/>
      </w:pPr>
      <w:r>
        <w:t xml:space="preserve">а) о жилом помещении (дом, квартира и т.д.), не принадлежащем служащему (работнику) или членам его семьи на праве собственности или на праве нанимателя, где он или они фактически проживают по состоянию на отчетную дату без заключения договора аренды, безвозмездного пользования или социального найма;</w:t>
      </w:r>
    </w:p>
    <w:p>
      <w:pPr>
        <w:pStyle w:val="BodyText"/>
      </w:pPr>
      <w:r>
        <w:t xml:space="preserve">б) о квартирах, занимаемых по договору аренды (найма, поднайма) жилого помещения;</w:t>
      </w:r>
    </w:p>
    <w:p>
      <w:pPr>
        <w:pStyle w:val="BodyText"/>
      </w:pPr>
      <w:r>
        <w:t xml:space="preserve">в) о квартирах, занимаемых по договорам социального найма.</w:t>
      </w:r>
    </w:p>
    <w:p>
      <w:pPr>
        <w:pStyle w:val="BodyText"/>
      </w:pPr>
      <w:r>
        <w:t xml:space="preserve">101. При этом указывается общая площадь объекта недвижимого имущества, находящегося в пользовании.</w:t>
      </w:r>
    </w:p>
    <w:p>
      <w:pPr>
        <w:pStyle w:val="BodyText"/>
      </w:pPr>
      <w:r>
        <w:t xml:space="preserve">102. Сведения об объектах недвижимого имущества, находящихся в пользовании, указываются по состоянию на отчетную дату.</w:t>
      </w:r>
    </w:p>
    <w:p>
      <w:pPr>
        <w:pStyle w:val="BodyText"/>
      </w:pPr>
      <w:r>
        <w:t xml:space="preserve">103.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BodyText"/>
      </w:pPr>
      <w:r>
        <w:t xml:space="preserve">104. В графе «</w:t>
      </w:r>
      <w:r>
        <w:rPr>
          <w:bCs/>
          <w:b/>
        </w:rPr>
        <w:t xml:space="preserve">Вид имущества</w:t>
      </w:r>
      <w:r>
        <w:t xml:space="preserve">» указывается вид недвижимого имущества (земельный участок, жилой дом, дача, квартира и другие).</w:t>
      </w:r>
    </w:p>
    <w:p>
      <w:pPr>
        <w:pStyle w:val="BodyText"/>
      </w:pPr>
      <w:bookmarkStart w:id="35" w:name="Par626"/>
      <w:bookmarkEnd w:id="35"/>
      <w:r>
        <w:t xml:space="preserve"> </w:t>
      </w:r>
      <w:r>
        <w:t xml:space="preserve">105. В графе «</w:t>
      </w:r>
      <w:r>
        <w:rPr>
          <w:bCs/>
          <w:b/>
        </w:rPr>
        <w:t xml:space="preserve">Вид и сроки пользования</w:t>
      </w:r>
      <w:r>
        <w:t xml:space="preserve">» указываются вид пользования (аренда, безвозмездное пользование и другие) и сроки пользования.</w:t>
      </w:r>
    </w:p>
    <w:p>
      <w:pPr>
        <w:pStyle w:val="BodyText"/>
      </w:pPr>
      <w:bookmarkStart w:id="36" w:name="Par627"/>
      <w:bookmarkEnd w:id="36"/>
      <w:r>
        <w:t xml:space="preserve"> </w:t>
      </w:r>
      <w:r>
        <w:t xml:space="preserve">106. В графе «</w:t>
      </w:r>
      <w:r>
        <w:rPr>
          <w:bCs/>
          <w:b/>
        </w:rPr>
        <w:t xml:space="preserve">Основание пользования</w:t>
      </w:r>
      <w:r>
        <w:t xml:space="preserve">» указываются основание пользования (договор, фактическое и другие), а также реквизиты (дата, номер) соответствующего договора или акта.</w:t>
      </w:r>
    </w:p>
    <w:p>
      <w:pPr>
        <w:pStyle w:val="BodyText"/>
      </w:pPr>
      <w:r>
        <w:t xml:space="preserve">107. В данном подразделе</w:t>
      </w:r>
      <w:r>
        <w:t xml:space="preserve"> </w:t>
      </w:r>
      <w:r>
        <w:rPr>
          <w:bCs/>
          <w:b/>
        </w:rPr>
        <w:t xml:space="preserve">не указывается</w:t>
      </w:r>
      <w:r>
        <w:t xml:space="preserve"> </w:t>
      </w:r>
      <w:r>
        <w:t xml:space="preserve">недвижимое имущество, которое находится в собственности и уже отражено в подразделе 3.1 справки.</w:t>
      </w:r>
    </w:p>
    <w:p>
      <w:pPr>
        <w:pStyle w:val="BodyText"/>
      </w:pPr>
      <w:r>
        <w:t xml:space="preserve">108. 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При этом данные доли собственности должны быть отражены в подразделе 3.1. справок служащего (работника) и его супруги.</w:t>
      </w:r>
    </w:p>
    <w:p>
      <w:pPr>
        <w:pStyle w:val="BodyText"/>
      </w:pPr>
      <w:r>
        <w:rPr>
          <w:bCs/>
          <w:b/>
        </w:rPr>
        <w:t xml:space="preserve">Подраздел 6.2. Срочные обязательства финансового характера</w:t>
      </w:r>
    </w:p>
    <w:p>
      <w:pPr>
        <w:pStyle w:val="BodyText"/>
      </w:pPr>
      <w:r>
        <w:t xml:space="preserve">109. В данном подразделе указывается каждое имеющиеся на отчетную дату срочное обязательство финансового характера на сумму,</w:t>
      </w:r>
      <w:r>
        <w:t xml:space="preserve"> </w:t>
      </w:r>
      <w:r>
        <w:rPr>
          <w:bCs/>
          <w:b/>
        </w:rPr>
        <w:t xml:space="preserve">равную или превышающую</w:t>
      </w:r>
      <w:r>
        <w:t xml:space="preserve"> </w:t>
      </w:r>
      <w:r>
        <w:t xml:space="preserve">500 000 рублей, кредитором или должником по которым является служащий (работник), его супруга (супруг), несовершеннолетний ребенок.</w:t>
      </w:r>
    </w:p>
    <w:p>
      <w:pPr>
        <w:pStyle w:val="BodyText"/>
      </w:pPr>
      <w:bookmarkStart w:id="37" w:name="Par629"/>
      <w:bookmarkEnd w:id="37"/>
      <w:r>
        <w:t xml:space="preserve"> </w:t>
      </w:r>
      <w:r>
        <w:t xml:space="preserve">110. В графе «</w:t>
      </w:r>
      <w:r>
        <w:rPr>
          <w:bCs/>
          <w:b/>
        </w:rPr>
        <w:t xml:space="preserve">Содержание обязательства</w:t>
      </w:r>
      <w:r>
        <w:t xml:space="preserve">» указывается существо обязательства (заем, кредит и другие).</w:t>
      </w:r>
    </w:p>
    <w:p>
      <w:pPr>
        <w:pStyle w:val="BodyText"/>
      </w:pPr>
      <w:r>
        <w:t xml:space="preserve">111. В графе «</w:t>
      </w:r>
      <w:r>
        <w:rPr>
          <w:bCs/>
          <w:b/>
        </w:rPr>
        <w:t xml:space="preserve">Кредитор (должник)</w:t>
      </w:r>
      <w: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pPr>
        <w:pStyle w:val="BodyText"/>
      </w:pPr>
      <w:r>
        <w:t xml:space="preserve">Например,</w:t>
      </w:r>
    </w:p>
    <w:p>
      <w:pPr>
        <w:pStyle w:val="BodyText"/>
      </w:pPr>
      <w:r>
        <w:t xml:space="preserve">а) если служащий (работник), его супруга (супруг) взял кредит в Сбербанке России и является должником, то в графе «Кредитор (должник)» указывается вторая сторона обязательства: кредитор ОАО «Сбербанк России»;</w:t>
      </w:r>
    </w:p>
    <w:p>
      <w:pPr>
        <w:pStyle w:val="BodyText"/>
      </w:pPr>
      <w:r>
        <w:t xml:space="preserve">б)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 Основанием возникновения обязательства в этом случае является договор займа с указанием даты подписания. При исполнении указанных обязательств должником (в том числе и не в полном объеме) полученные средства следует указать в разделе 1 справки.</w:t>
      </w:r>
    </w:p>
    <w:p>
      <w:pPr>
        <w:pStyle w:val="BodyText"/>
      </w:pPr>
      <w:bookmarkStart w:id="38" w:name="Par631"/>
      <w:bookmarkEnd w:id="38"/>
      <w:r>
        <w:t xml:space="preserve"> </w:t>
      </w:r>
      <w:r>
        <w:t xml:space="preserve">112. В графе «</w:t>
      </w:r>
      <w:r>
        <w:rPr>
          <w:bCs/>
          <w:b/>
        </w:rPr>
        <w:t xml:space="preserve">Основание возникновения</w:t>
      </w:r>
      <w:r>
        <w:t xml:space="preserve">» указываются основание возникновения обязательства, а также реквизиты (дата, номер) соответствующего договора или акта.</w:t>
      </w:r>
    </w:p>
    <w:p>
      <w:pPr>
        <w:pStyle w:val="BodyText"/>
      </w:pPr>
      <w:r>
        <w:t xml:space="preserve">113. В графе «</w:t>
      </w:r>
      <w:r>
        <w:rPr>
          <w:bCs/>
          <w:b/>
        </w:rPr>
        <w:t xml:space="preserve">Сумма обязательства / размер обязательства по состоянию на отчетную дату</w:t>
      </w:r>
      <w:r>
        <w:t xml:space="preserve">»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w:t>
      </w:r>
      <w:r>
        <w:t xml:space="preserve"> </w:t>
      </w:r>
      <w:hyperlink r:id="rId23">
        <w:r>
          <w:rPr>
            <w:rStyle w:val="Hyperlink"/>
          </w:rPr>
          <w:t xml:space="preserve">http://www.cbr.ru/currency_base/daily.aspx</w:t>
        </w:r>
      </w:hyperlink>
      <w:r>
        <w:t xml:space="preserve">.</w:t>
      </w:r>
    </w:p>
    <w:p>
      <w:pPr>
        <w:pStyle w:val="BodyText"/>
      </w:pPr>
      <w:bookmarkStart w:id="39" w:name="Par633"/>
      <w:bookmarkEnd w:id="39"/>
      <w:r>
        <w:t xml:space="preserve"> </w:t>
      </w:r>
      <w:r>
        <w:t xml:space="preserve">114. В графе «</w:t>
      </w:r>
      <w:r>
        <w:rPr>
          <w:bCs/>
          <w:b/>
        </w:rPr>
        <w:t xml:space="preserve">Условия обязательства</w:t>
      </w:r>
      <w: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pPr>
        <w:pStyle w:val="BodyText"/>
      </w:pPr>
      <w:r>
        <w:t xml:space="preserve">115. Помимо прочего подлежат указанию:</w:t>
      </w:r>
    </w:p>
    <w:p>
      <w:pPr>
        <w:pStyle w:val="BodyText"/>
      </w:pPr>
      <w:r>
        <w:t xml:space="preserve">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свыше 500 000 рублей);</w:t>
      </w:r>
    </w:p>
    <w:p>
      <w:pPr>
        <w:pStyle w:val="BodyText"/>
      </w:pPr>
      <w:r>
        <w:t xml:space="preserve">б) договор финансовой аренды;</w:t>
      </w:r>
    </w:p>
    <w:p>
      <w:pPr>
        <w:pStyle w:val="BodyText"/>
      </w:pPr>
      <w:r>
        <w:t xml:space="preserve">в) договор займа;</w:t>
      </w:r>
    </w:p>
    <w:p>
      <w:pPr>
        <w:pStyle w:val="BodyText"/>
      </w:pPr>
      <w:r>
        <w:t xml:space="preserve">г) договор финансирования под уступку денежного требования;</w:t>
      </w:r>
    </w:p>
    <w:p>
      <w:pPr>
        <w:pStyle w:val="BodyText"/>
      </w:pPr>
      <w:r>
        <w:t xml:space="preserve">д) обязательство вследствие причинения вреда (финансовые) и т.д.</w:t>
      </w:r>
    </w:p>
    <w:p>
      <w:pPr>
        <w:pStyle w:val="BodyText"/>
      </w:pPr>
      <w:r>
        <w:t xml:space="preserve">116.</w:t>
      </w:r>
      <w:r>
        <w:t xml:space="preserve"> </w:t>
      </w:r>
      <w:r>
        <w:rPr>
          <w:bCs/>
          <w:b/>
        </w:rPr>
        <w:t xml:space="preserve">Отдельные виды срочных обязательств финансового характера</w:t>
      </w:r>
      <w:r>
        <w:t xml:space="preserve">:</w:t>
      </w:r>
    </w:p>
    <w:p>
      <w:pPr>
        <w:pStyle w:val="BodyText"/>
      </w:pPr>
      <w:r>
        <w:t xml:space="preserve">а) участие в долевом строительстве объекта недвижимости.</w:t>
      </w:r>
    </w:p>
    <w:p>
      <w:pPr>
        <w:pStyle w:val="BodyText"/>
      </w:pPr>
      <w:r>
        <w:t xml:space="preserve">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pPr>
        <w:pStyle w:val="BodyText"/>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w:t>
      </w:r>
    </w:p>
    <w:p>
      <w:pPr>
        <w:pStyle w:val="BodyText"/>
      </w:pPr>
      <w:r>
        <w:t xml:space="preserve">б) обязательства по ипотеке в случае разделения суммы кредита между супругами.</w:t>
      </w:r>
    </w:p>
    <w:p>
      <w:pPr>
        <w:pStyle w:val="BodyText"/>
      </w:pPr>
      <w:r>
        <w:t xml:space="preserve">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BodyText"/>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pPr>
        <w:pStyle w:val="BodyText"/>
      </w:pPr>
      <w:r>
        <w:br/>
      </w:r>
    </w:p>
    <w:p>
      <w:pPr>
        <w:pStyle w:val="BodyText"/>
      </w:pPr>
      <w:r>
        <w:t xml:space="preserve">Адрес страницы:</w:t>
      </w:r>
      <w:r>
        <w:t xml:space="preserve"> </w:t>
      </w:r>
      <w:hyperlink r:id="rId40">
        <w:r>
          <w:rPr>
            <w:rStyle w:val="Hyperlink"/>
          </w:rPr>
          <w:t xml:space="preserve">http://ostankino.mos.ru/anti-corruption/methodical-materials/detail/2027613.html</w:t>
        </w:r>
      </w:hyperlink>
    </w:p>
    <w:p>
      <w:pPr>
        <w:pStyle w:val="BodyText"/>
      </w:pPr>
      <w:hyperlink r:id="rId41">
        <w:r>
          <w:rPr>
            <w:rStyle w:val="Hyperlink"/>
          </w:rPr>
          <w:t xml:space="preserve">Управа Останкинского района города Москвы</w:t>
        </w:r>
      </w:hyperlink>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consultantplus://offline/ref=4BC6814DDC56B9B1ED04E47954C025460615ECC74F14F649C2C82A9D5718F7703D27FC49DDA3FC0Da9xCL" TargetMode="External" /><Relationship Type="http://schemas.openxmlformats.org/officeDocument/2006/relationships/hyperlink" Id="rId22" Target="consultantplus://offline/ref=5641DFA6DFA37D81192D8E8914A3E181315036EAF8D6959583FB31B2B797E4C0B9ECFF511E44B645h0yAO" TargetMode="External" /><Relationship Type="http://schemas.openxmlformats.org/officeDocument/2006/relationships/hyperlink" Id="rId21" Target="consultantplus://offline/ref=7F2EEDDD06F168B694690D2DE649735BC9E53CBFC16FEC31087E4E96CAJ2nFL" TargetMode="External" /><Relationship Type="http://schemas.openxmlformats.org/officeDocument/2006/relationships/hyperlink" Id="rId20" Target="consultantplus://offline/ref=C9E7374AA1332C6CF9FF0059DC9BC42D7E0C4094E90E8D4E87A0DE0B00JBsBL" TargetMode="External" /><Relationship Type="http://schemas.openxmlformats.org/officeDocument/2006/relationships/hyperlink" Id="rId26" Target="file:///C:/Users/PakIA/AppData/Local/Microsoft/Windows/Temporary%20Internet%20Files/Content.Outlook/Z2VOLC92/%D0%9C%D0%95%D0%A2%D0%9E%D0%94%D0%98%D0%A7%D0%95%D0%A1%D0%9A%D0%98%D0%95%20%D0%A0%D0%95%D0%9A%D0%9E%D0%9C%D0%95%D0%9D%D0%94%D0%90%D0%A6%D0%98%D0%98.docx#Par1" TargetMode="External" /><Relationship Type="http://schemas.openxmlformats.org/officeDocument/2006/relationships/hyperlink" Id="rId27" Target="file:///C:/Users/PakIA/AppData/Local/Microsoft/Windows/Temporary%20Internet%20Files/Content.Outlook/Z2VOLC92/%D0%9C%D0%95%D0%A2%D0%9E%D0%94%D0%98%D0%A7%D0%95%D0%A1%D0%9A%D0%98%D0%95%20%D0%A0%D0%95%D0%9A%D0%9E%D0%9C%D0%95%D0%9D%D0%94%D0%90%D0%A6%D0%98%D0%98.docx#Par8" TargetMode="External" /><Relationship Type="http://schemas.openxmlformats.org/officeDocument/2006/relationships/hyperlink" Id="rId41" Target="http://ostankino.mos.ru" TargetMode="External" /><Relationship Type="http://schemas.openxmlformats.org/officeDocument/2006/relationships/hyperlink" Id="rId40" Target="http://ostankino.mos.ru/anti-corruption/methodical-materials/detail/2027613.html" TargetMode="External" /><Relationship Type="http://schemas.openxmlformats.org/officeDocument/2006/relationships/hyperlink" Id="rId23" Target="http://www.cbr.ru/currency_base/daily.aspx" TargetMode="External" /><Relationship Type="http://schemas.openxmlformats.org/officeDocument/2006/relationships/hyperlink" Id="rId31" Target="http://www.cbr.ru/hd_base/?PrtId=metall_base_new" TargetMode="External" /><Relationship Type="http://schemas.openxmlformats.org/officeDocument/2006/relationships/hyperlink" Id="rId30" Target="https://www.gibdd.ru/r/66/contacts/div1165043/" TargetMode="External" /><Relationship Type="http://schemas.openxmlformats.org/officeDocument/2006/relationships/hyperlink" Id="rId29" Target="https://www.gibdd.ru/r/66/contacts/div1165058/" TargetMode="External" /><Relationship Type="http://schemas.openxmlformats.org/officeDocument/2006/relationships/hyperlink" Id="rId28" Target="https://www.gibdd.ru/r/77/contacts/div1145039/" TargetMode="External" /></Relationships>
</file>

<file path=word/_rels/footnotes.xml.rels><?xml version="1.0" encoding="UTF-8"?><Relationships xmlns="http://schemas.openxmlformats.org/package/2006/relationships"><Relationship Type="http://schemas.openxmlformats.org/officeDocument/2006/relationships/hyperlink" Id="rId32" Target="consultantplus://offline/ref=4BC6814DDC56B9B1ED04E47954C025460615ECC74F14F649C2C82A9D5718F7703D27FC49DDA3FC0Da9xCL" TargetMode="External" /><Relationship Type="http://schemas.openxmlformats.org/officeDocument/2006/relationships/hyperlink" Id="rId22" Target="consultantplus://offline/ref=5641DFA6DFA37D81192D8E8914A3E181315036EAF8D6959583FB31B2B797E4C0B9ECFF511E44B645h0yAO" TargetMode="External" /><Relationship Type="http://schemas.openxmlformats.org/officeDocument/2006/relationships/hyperlink" Id="rId21" Target="consultantplus://offline/ref=7F2EEDDD06F168B694690D2DE649735BC9E53CBFC16FEC31087E4E96CAJ2nFL" TargetMode="External" /><Relationship Type="http://schemas.openxmlformats.org/officeDocument/2006/relationships/hyperlink" Id="rId20" Target="consultantplus://offline/ref=C9E7374AA1332C6CF9FF0059DC9BC42D7E0C4094E90E8D4E87A0DE0B00JBsBL" TargetMode="External" /><Relationship Type="http://schemas.openxmlformats.org/officeDocument/2006/relationships/hyperlink" Id="rId26" Target="file:///C:/Users/PakIA/AppData/Local/Microsoft/Windows/Temporary%20Internet%20Files/Content.Outlook/Z2VOLC92/%D0%9C%D0%95%D0%A2%D0%9E%D0%94%D0%98%D0%A7%D0%95%D0%A1%D0%9A%D0%98%D0%95%20%D0%A0%D0%95%D0%9A%D0%9E%D0%9C%D0%95%D0%9D%D0%94%D0%90%D0%A6%D0%98%D0%98.docx#Par1" TargetMode="External" /><Relationship Type="http://schemas.openxmlformats.org/officeDocument/2006/relationships/hyperlink" Id="rId27" Target="file:///C:/Users/PakIA/AppData/Local/Microsoft/Windows/Temporary%20Internet%20Files/Content.Outlook/Z2VOLC92/%D0%9C%D0%95%D0%A2%D0%9E%D0%94%D0%98%D0%A7%D0%95%D0%A1%D0%9A%D0%98%D0%95%20%D0%A0%D0%95%D0%9A%D0%9E%D0%9C%D0%95%D0%9D%D0%94%D0%90%D0%A6%D0%98%D0%98.docx#Par8" TargetMode="External" /><Relationship Type="http://schemas.openxmlformats.org/officeDocument/2006/relationships/hyperlink" Id="rId41" Target="http://ostankino.mos.ru" TargetMode="External" /><Relationship Type="http://schemas.openxmlformats.org/officeDocument/2006/relationships/hyperlink" Id="rId40" Target="http://ostankino.mos.ru/anti-corruption/methodical-materials/detail/2027613.html" TargetMode="External" /><Relationship Type="http://schemas.openxmlformats.org/officeDocument/2006/relationships/hyperlink" Id="rId23" Target="http://www.cbr.ru/currency_base/daily.aspx" TargetMode="External" /><Relationship Type="http://schemas.openxmlformats.org/officeDocument/2006/relationships/hyperlink" Id="rId31" Target="http://www.cbr.ru/hd_base/?PrtId=metall_base_new" TargetMode="External" /><Relationship Type="http://schemas.openxmlformats.org/officeDocument/2006/relationships/hyperlink" Id="rId30" Target="https://www.gibdd.ru/r/66/contacts/div1165043/" TargetMode="External" /><Relationship Type="http://schemas.openxmlformats.org/officeDocument/2006/relationships/hyperlink" Id="rId29" Target="https://www.gibdd.ru/r/66/contacts/div1165058/" TargetMode="External" /><Relationship Type="http://schemas.openxmlformats.org/officeDocument/2006/relationships/hyperlink" Id="rId28" Target="https://www.gibdd.ru/r/77/contacts/div11450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2025-06-16T04:58:45Z</dcterms:created>
  <dcterms:modified xsi:type="dcterms:W3CDTF">2025-06-16T04:58:45Z</dcterms:modified>
</cp:coreProperties>
</file>

<file path=docProps/custom.xml><?xml version="1.0" encoding="utf-8"?>
<Properties xmlns="http://schemas.openxmlformats.org/officeDocument/2006/custom-properties" xmlns:vt="http://schemas.openxmlformats.org/officeDocument/2006/docPropsVTypes"/>
</file>