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каждый-работодатель-должен-знать"/>
    <w:p>
      <w:pPr>
        <w:pStyle w:val="Heading3"/>
      </w:pPr>
      <w:r>
        <w:t xml:space="preserve">Каждый работодатель должен знать!</w:t>
      </w:r>
    </w:p>
    <w:p>
      <w:pPr>
        <w:pStyle w:val="FirstParagraph"/>
      </w:pPr>
      <w:r>
        <w:t xml:space="preserve">02.05.2017</w:t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38a/0205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c2b/0205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198/02052000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e2e/02052000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http://ostankino.mos.ru/anti-corruption/methodical-materials/detail/5810622.html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hyperlink" Id="rId33" Target="http://ostankino.mos.ru" TargetMode="External" /><Relationship Type="http://schemas.openxmlformats.org/officeDocument/2006/relationships/hyperlink" Id="rId32" Target="http://ostankino.mos.ru/anti-corruption/methodical-materials/detail/5810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ostankino.mos.ru" TargetMode="External" /><Relationship Type="http://schemas.openxmlformats.org/officeDocument/2006/relationships/hyperlink" Id="rId32" Target="http://ostankino.mos.ru/anti-corruption/methodical-materials/detail/5810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2024-09-10T02:58:33Z</dcterms:created>
  <dcterms:modified xsi:type="dcterms:W3CDTF">2024-09-10T02:58:33Z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