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а-по-антикоррупционному-поведению"/>
    <w:p>
      <w:pPr>
        <w:pStyle w:val="Heading3"/>
      </w:pPr>
      <w:r>
        <w:t xml:space="preserve">Памятка по антикоррупционному поведению!</w:t>
      </w:r>
    </w:p>
    <w:p>
      <w:pPr>
        <w:pStyle w:val="FirstParagraph"/>
      </w:pPr>
      <w:r>
        <w:t xml:space="preserve">11.12.2017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http://ostankino.mos.ru/anti-corruption/methodical-materials/detail/7028961.html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nti-corruption/methodical-materials/detail/70289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anti-corruption/methodical-materials/detail/70289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2024-10-12T08:00:25Z</dcterms:created>
  <dcterms:modified xsi:type="dcterms:W3CDTF">2024-10-12T08:00:25Z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