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1faf6f3c2b3d9c896306066d38287dce5ac0a"/>
    <w:p>
      <w:pPr>
        <w:pStyle w:val="Heading3"/>
      </w:pPr>
      <w:r>
        <w:t xml:space="preserve">Результаты Международного молодежного конкурса социальной антикоррупционной рекламы "Вместе против коррупции" - 2018</w:t>
      </w:r>
    </w:p>
    <w:p>
      <w:pPr>
        <w:pStyle w:val="FirstParagraph"/>
      </w:pPr>
      <w:r>
        <w:t xml:space="preserve">16.09.2019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https://ostankino.mos.ru/anti-corruption/methodical-materials/detail/8352063.html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http://ostankino.mos.ru/anti-corruption/methodical-materials/detail/8352063.html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8352063.html" TargetMode="External" /><Relationship Type="http://schemas.openxmlformats.org/officeDocument/2006/relationships/hyperlink" Id="rId20" Target="https://www.mosproc.ru/counteraction-to-corruption/against%20_the_corruption_2018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8352063.html" TargetMode="External" /><Relationship Type="http://schemas.openxmlformats.org/officeDocument/2006/relationships/hyperlink" Id="rId20" Target="https://www.mosproc.ru/counteraction-to-corruption/against%20_the_corruption_2018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2023-10-04T00:10:17Z</dcterms:created>
  <dcterms:modified xsi:type="dcterms:W3CDTF">2023-10-04T00:10:17Z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