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83b5c39024e5f869b7becf46e32e6053674a22"/>
    <w:p>
      <w:pPr>
        <w:pStyle w:val="Heading3"/>
      </w:pPr>
      <w:r>
        <w:t xml:space="preserve">Методические рекомендации по организации ротации Федеральных государственных гражданских служащих</w:t>
      </w:r>
    </w:p>
    <w:p>
      <w:pPr>
        <w:pStyle w:val="FirstParagraph"/>
      </w:pPr>
      <w:r>
        <w:t xml:space="preserve">06.10.2020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http://ostankino.mos.ru/anti-corruption/methodical-materials/detail/9300625.html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anti-corruption/methodical-materials/detail/930062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anti-corruption/methodical-materials/detail/930062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2025-01-19T09:37:32Z</dcterms:created>
  <dcterms:modified xsi:type="dcterms:W3CDTF">2025-01-19T09:37:32Z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