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566a0ba42fcd1ab46711d8486a64763b287d6"/>
    <w:p>
      <w:pPr>
        <w:pStyle w:val="Heading3"/>
      </w:pPr>
      <w:r>
        <w:t xml:space="preserve">Креативная индустрия столицы продолжает развиваться при поддержке властей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  <w:hyperlink r:id="rId20">
        <w:r>
          <w:rPr>
            <w:rStyle w:val="Hyperlink"/>
            <w:iCs/>
            <w:i/>
            <w:bCs/>
            <w:b/>
          </w:rPr>
          <w:t xml:space="preserve">Агентство креативных индустрий</w:t>
        </w:r>
      </w:hyperlink>
      <w:r>
        <w:rPr>
          <w:iCs/>
          <w:i/>
          <w:bCs/>
          <w:b/>
        </w:rPr>
        <w:t xml:space="preserve">, открывшись в Москве в прошлом году как центр развития и поддержки творческого бизнеса и креативной инфраструктуры столицы, активно взаимодействует с представителями творческого бизнес-сообщества, поддерживает их как участников особого сектора экономики, реализует масштабные городские проекты, объединяет локальные пространства в креативные технопарки и кластеры.</w:t>
      </w:r>
    </w:p>
    <w:p>
      <w:pPr>
        <w:pStyle w:val="BodyText"/>
      </w:pPr>
      <w:r>
        <w:t xml:space="preserve">Так, например, Центр дизайна Artplay в прошлом году первым в городе получил статус креативного технопарка. Его резиденты — представители сферы архитектуры, дизайна и искусства. В центре — более 400 компаний, в том числе свыше 60 архитектурных бюро, 40 дизайн-студий, 20 рекламных агентств.</w:t>
      </w:r>
    </w:p>
    <w:p>
      <w:pPr>
        <w:pStyle w:val="BodyText"/>
      </w:pPr>
      <w:r>
        <w:t xml:space="preserve">Кроме того, в августе этого года на территории центра современного искусства «Винзавод» был открыт первый центр услуг для бизнеса, ориентированный на представителей креативных индустрий. Теперь бизнесмены могут получать консультации и другие виды поддержки в режиме одного окна.</w:t>
      </w:r>
    </w:p>
    <w:p>
      <w:pPr>
        <w:pStyle w:val="BodyText"/>
      </w:pPr>
      <w:r>
        <w:t xml:space="preserve">К креативным сферам в городе относится более 110 тысяч компаний и индивидуальных предпринимателей, они обеспечивают работой полмиллиона москвичей. Столичные власти продолжат развитие творческой индустрии и планируют к реализации проекты по присвоению статуса креативных технопарков нескольким успешно функционирующим городским площадкам.</w:t>
      </w:r>
    </w:p>
    <w:p>
      <w:pPr>
        <w:pStyle w:val="BodyText"/>
      </w:pPr>
      <w:r>
        <w:t xml:space="preserve">«На сегодняшний день мы пересматриваем определенные правила в отношении создания таких технопарков. Мы уже пришли к определенному списку, что нам нужно поменять. Надеюсь, что коллеги из других департаментов нас поддержат. И, наверное, это позволит придать трем — четырем площадкам упомянутый статус», — рассказал Алексей Фурсин руководитель Департамента предпринимательства и инновационного развития.</w:t>
      </w:r>
    </w:p>
    <w:p>
      <w:pPr>
        <w:pStyle w:val="BodyText"/>
      </w:pPr>
      <w:r>
        <w:t xml:space="preserve">К креативным индустриям относят архитектуру, проектирование и дизайн, издательскую деятельность, полиграфию, работу в медиапространстве, кино, теле- и радиовещание, ИТ-сферу и разработку программного обеспечения, а также производство ювелирных изделий и музыкальных инструментов.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http://ostankino.mos.ru/news/detail/10244097.html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244097.html" TargetMode="External" /><Relationship Type="http://schemas.openxmlformats.org/officeDocument/2006/relationships/hyperlink" Id="rId20" Target="https://moscow-creative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244097.html" TargetMode="External" /><Relationship Type="http://schemas.openxmlformats.org/officeDocument/2006/relationships/hyperlink" Id="rId20" Target="https://moscow-creative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2024-11-28T15:26:37Z</dcterms:created>
  <dcterms:modified xsi:type="dcterms:W3CDTF">2024-11-28T15:26:37Z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