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0970e541f2e01d625d062e4bc0702f2d068a3"/>
    <w:p>
      <w:pPr>
        <w:pStyle w:val="Heading3"/>
      </w:pPr>
      <w:r>
        <w:t xml:space="preserve">Горку в виде Змея Горыныча установили на детской площадке на улице Бочкова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rPr>
          <w:iCs/>
          <w:i/>
          <w:bCs/>
          <w:b/>
        </w:rPr>
        <w:t xml:space="preserve">В Останкинском районе продолжается благоустройство территорий детских площадок. Об этом сообщили в управе. </w:t>
      </w:r>
    </w:p>
    <w:p>
      <w:pPr>
        <w:pStyle w:val="BodyText"/>
      </w:pPr>
      <w:r>
        <w:t xml:space="preserve">— Завершена установка малой архитектурной формы (горки в виде трехглавого Змея Горыныча) на детской площадке по адресу: улица Бочкова, дом 8,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http://ostankino.mos.ru/presscenter/news/detail/10399738.html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9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9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2024-08-11T00:39:45Z</dcterms:created>
  <dcterms:modified xsi:type="dcterms:W3CDTF">2024-08-11T00:39:45Z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