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e3b33b18704194261bbf07206ce419be6e7e33"/>
    <w:p>
      <w:pPr>
        <w:pStyle w:val="Heading3"/>
      </w:pPr>
      <w:r>
        <w:t xml:space="preserve">Сведения по количеству площадок, подготовленных для запуска фейерверков на территории Останкинского района в 2014-2015 году</w:t>
      </w:r>
    </w:p>
    <w:p>
      <w:pPr>
        <w:pStyle w:val="FirstParagraph"/>
      </w:pPr>
      <w:r>
        <w:t xml:space="preserve">22.12.2014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Количество площадок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Вместимость площадок (человек)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Сквер по Звёздному бульвару, д. 10-12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1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1000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t xml:space="preserve">Итого за район (Останкинский)</w:t>
            </w:r>
            <w:r>
              <w:t xml:space="preserve"> </w:t>
            </w:r>
            <w:r>
              <w:rPr>
                <w:bCs/>
                <w:b/>
              </w:rPr>
              <w:t xml:space="preserve">1 площадка, вместимость 1000 человек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http://ostankino.mos.ru/news/detail/1487764.html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4877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4877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2025-01-19T07:30:16Z</dcterms:created>
  <dcterms:modified xsi:type="dcterms:W3CDTF">2025-01-19T07:30:16Z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