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4538b189e43d1a01b738e056b0e98bfcc0d1c"/>
    <w:p>
      <w:pPr>
        <w:pStyle w:val="Heading3"/>
      </w:pPr>
      <w:r>
        <w:t xml:space="preserve">Как столичные школы переходят на электронное образование</w:t>
      </w:r>
    </w:p>
    <w:p>
      <w:pPr>
        <w:pStyle w:val="FirstParagraph"/>
      </w:pPr>
      <w:r>
        <w:t xml:space="preserve">17.01.2015</w:t>
      </w:r>
    </w:p>
    <w:p>
      <w:pPr>
        <w:pStyle w:val="BodyText"/>
      </w:pPr>
      <w:r>
        <w:t xml:space="preserve">В столичных школах работает около 160 тысяч компьютеров. Впрочем, настольные машины уже не способны удивить современных школьников. За последние годы почти в каждом московском классе появились интерактивные доски, а оценки теперь выставляют в электронные дневники.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http://ostankino.mos.ru/presscenter/news/detail/1519350.html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19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19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2024-09-02T17:08:35Z</dcterms:created>
  <dcterms:modified xsi:type="dcterms:W3CDTF">2024-09-02T17:08:35Z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