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c82384215ec57f05e277799fe1703886b48df"/>
    <w:p>
      <w:pPr>
        <w:pStyle w:val="Heading3"/>
      </w:pPr>
      <w:r>
        <w:t xml:space="preserve">Собянин отменил строительство магазина «Пятёрочка» в Восточном Дегунине по просьбе жителей района</w:t>
      </w:r>
    </w:p>
    <w:p>
      <w:pPr>
        <w:pStyle w:val="FirstParagraph"/>
      </w:pPr>
      <w:r>
        <w:t xml:space="preserve">26.02.2015</w:t>
      </w:r>
    </w:p>
    <w:p>
      <w:pPr>
        <w:pStyle w:val="BodyText"/>
      </w:pPr>
      <w:r>
        <w:t xml:space="preserve">Мэр Москвы Сергей Собянин организовал очередное заседание Градостроительно-земельной комиссии Москвы, на котором был рассмотрен вопрос о целесообразности строительства магазина «Пятёрочка» в Керамическом проезде возле железнодорожной платформы Бескудниково района Восточное Дегунино. По многочисленным просьбам жителей, а также на основании обращения депутата Московской городской Думы Надежды Перфиловой комиссией было принято решение запретить строительство данного объекта.</w:t>
      </w:r>
    </w:p>
    <w:p>
      <w:pPr>
        <w:pStyle w:val="BodyText"/>
      </w:pPr>
      <w:r>
        <w:t xml:space="preserve">Кроме того, по этим же причинам было принято решение о прекращении реализации ряда инвестиционных проектов в 11-м и 12-м микрорайонах Куркино СЗАО (например, строительство многофункционального комплекса). По поручению градоначальника, префектуры Северного и Северо-Западного административных округов организуют работы благоустройство и озеленение ранее предназначавшихся для застройки земельных участков, которые будут в дальнейшем использоваться в качестве общедоступных территорий.</w:t>
      </w:r>
    </w:p>
    <w:p>
      <w:pPr>
        <w:pStyle w:val="BodyText"/>
      </w:pPr>
      <w:r>
        <w:t xml:space="preserve">На заседании ГЗК были одобрены некоторые проекты развития ряда перспективных городских территорий:</w:t>
      </w:r>
    </w:p>
    <w:p>
      <w:pPr>
        <w:pStyle w:val="BodyText"/>
      </w:pPr>
      <w:r>
        <w:t xml:space="preserve">- одобрен проект планировки II очереди строительства линии трамвая от станции метро «Пражская» в район Бирюлёво Западное с продлением до 6-го микрорайона Загорья. Длина участка II очереди (от Павелецкого направления МЖД в район Бирюлёво Восточное и 6-й микрорайон Загорья) — 5,2 километра c восемью остановочными пунктами. Новая линия позволит сократить время подъезда к станции метро для жителей Бирюлёво на 10 — 15 минут;</w:t>
      </w:r>
    </w:p>
    <w:p>
      <w:pPr>
        <w:pStyle w:val="BodyText"/>
      </w:pPr>
      <w:r>
        <w:t xml:space="preserve">- принято решение о предоставлении свободных земельных участков для строительства III и IV главных путей на Курском направлении (участок Москва Пассажирская — Люблино) и V и VI главных путей на Казанском направлении (участок Выхино — Люберцы) Московской железной дороги;</w:t>
      </w:r>
    </w:p>
    <w:p>
      <w:pPr>
        <w:pStyle w:val="BodyText"/>
      </w:pPr>
      <w:r>
        <w:t xml:space="preserve">- принято решение о строительстве дополнительных главных путей компанией ОАО «РЖД» совместно с Правительством Москвы в целях улучшения пригородного железнодорожного сообщения.</w:t>
      </w:r>
    </w:p>
    <w:p>
      <w:pPr>
        <w:pStyle w:val="BodyText"/>
      </w:pPr>
      <w:r>
        <w:t xml:space="preserve">- принято решение о создании градостроительного плана земельного участка (ГПЗУ) для строительства многофункционального комплекса с апартаментами площадью 204,6 тысячи квадратных метров по адресу: 11-й проезд Марьиной Рощи, Шереметьевская улица (развитие территории существующего торгового центра «Капитолий»). Проект планировки территории, ограниченной улицей Шереметьевской и полосами отвода Рижского направления МЖД и МКЖД, был одобрен на публичных слушаниях, состоявшихся в ноябре 2014 года.</w:t>
      </w:r>
    </w:p>
    <w:p>
      <w:pPr>
        <w:pStyle w:val="BodyText"/>
      </w:pPr>
      <w:r>
        <w:t xml:space="preserve">Таким образом, 26 февраля 2015 года на заседании Градостроительно-земельной комиссии Москвы были приняты решения о выдаче ГПЗУ, предполагающих строительство, 867,7 тысячи квадратных метров недвижимости, в том числе 438,5 тысячи квадратных метров жилья, 359,2 тысячи квадратных метров торговых площадей, 14,6 тысячи квадратных метров объектов социального назначения, 42,7 тысячи квадратных метров офисно-административных зданий и другие.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http://ostankino.mos.ru/presscenter/news/detail/1615223.html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15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15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2024-08-01T12:45:07Z</dcterms:created>
  <dcterms:modified xsi:type="dcterms:W3CDTF">2024-08-01T12:45:07Z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