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3c732f5abd333751952f41ccd9acb65c99a87c"/>
    <w:p>
      <w:pPr>
        <w:pStyle w:val="Heading3"/>
      </w:pPr>
      <w:r>
        <w:t xml:space="preserve">Собянин: Мы установили оптимальные ставки налога на недвижимость</w:t>
      </w:r>
    </w:p>
    <w:p>
      <w:pPr>
        <w:pStyle w:val="FirstParagraph"/>
      </w:pPr>
      <w:r>
        <w:t xml:space="preserve">02.03.2015</w:t>
      </w:r>
    </w:p>
    <w:p>
      <w:pPr>
        <w:pStyle w:val="BodyText"/>
      </w:pPr>
      <w:r>
        <w:t xml:space="preserve">Мэр Москвы Сергей Собянин доложил Президенту России Владимиру Путину о принятых решениях Правительства Москвы в сфере налогообложения недвижимости.</w:t>
      </w:r>
    </w:p>
    <w:p>
      <w:pPr>
        <w:pStyle w:val="BodyText"/>
      </w:pPr>
      <w:r>
        <w:t xml:space="preserve">Как сообщил Мэр Москвы, изменения порядка оценки и налогообложения коммерческой недвижимости не отразились на организации в столице в целом и стимулировали развитие строительства на периферии. «Мы установили четырёхлетний переходный период и оптимальные ставки налога на недвижимость. Пожалуй, главное — деловая активность от этого не снизилась», — отметил он.</w:t>
      </w:r>
    </w:p>
    <w:p>
      <w:pPr>
        <w:pStyle w:val="BodyText"/>
      </w:pPr>
      <w:r>
        <w:t xml:space="preserve">Градоначальник отметил, что проблемы заключались в одинаковом налогообложении офисов, независимо от их местонахождения (в центре или на окраине): «При этом старые офисные здания в центре города практически ничего не стоили, так как исчерпали свою балансовую стоимость. Более того, за офисы, владельцы которых регистрировали свои балансы за границей, так как обложение было по балансовой стоимости, вообще ничего не платили. То есть российские предприниматели платили, иностранные — не платили, — заявил Мэр Москвы, — весь этот абсурд, конечно, искажал всю «поляну» недвижимости, налогообложения, конкуренции бизнеса».</w:t>
      </w:r>
    </w:p>
    <w:p>
      <w:pPr>
        <w:pStyle w:val="BodyText"/>
      </w:pPr>
      <w:r>
        <w:t xml:space="preserve">Мэр сообщил, что в настоящий момент ситуация выровнялась. «Дорогая недвижимость облагается большим налогом, дешёвая недвижимость — меньшим налогом независимо от того, кто владелец и когда это построено. Это, конечно, даёт стимул для развития строительства не только в центре города, куда все стремились, но и на периферии, создавая таким образом более комплексную застройку города, более комфортную для горожан и для бизнеса», — подчеркнул он.</w:t>
      </w:r>
    </w:p>
    <w:p>
      <w:pPr>
        <w:pStyle w:val="BodyText"/>
      </w:pPr>
      <w:r>
        <w:br/>
      </w:r>
    </w:p>
    <w:p>
      <w:pPr>
        <w:pStyle w:val="BodyText"/>
      </w:pPr>
      <w:r>
        <w:t xml:space="preserve">Адрес страницы:</w:t>
      </w:r>
      <w:r>
        <w:t xml:space="preserve"> </w:t>
      </w:r>
      <w:hyperlink r:id="rId20">
        <w:r>
          <w:rPr>
            <w:rStyle w:val="Hyperlink"/>
          </w:rPr>
          <w:t xml:space="preserve">http://ostankino.mos.ru/presscenter/news/detail/1624283.html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presscenter/news/detail/16242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presscenter/news/detail/16242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2025-05-24T07:08:29Z</dcterms:created>
  <dcterms:modified xsi:type="dcterms:W3CDTF">2025-05-24T07:08:29Z</dcterms:modified>
</cp:coreProperties>
</file>

<file path=docProps/custom.xml><?xml version="1.0" encoding="utf-8"?>
<Properties xmlns="http://schemas.openxmlformats.org/officeDocument/2006/custom-properties" xmlns:vt="http://schemas.openxmlformats.org/officeDocument/2006/docPropsVTypes"/>
</file>