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49e2549fd68a842cea70968f936a630dac6d5"/>
    <w:p>
      <w:pPr>
        <w:pStyle w:val="Heading3"/>
      </w:pPr>
      <w:r>
        <w:t xml:space="preserve">За три года 25 учреждений столицы в сфере образования получили статус городской инновационной площадки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t xml:space="preserve">Московский институт развития образования (МИРО) за три года работы присвоил статус городской инновационной площадки 25 образовательным организациям. Об этом журналистам сообщила руководитель Центра анализа научных исследований и инноваций в образовании МИРО Ольга Фиофанова.</w:t>
      </w:r>
    </w:p>
    <w:p>
      <w:pPr>
        <w:pStyle w:val="BodyText"/>
      </w:pPr>
      <w:r>
        <w:t xml:space="preserve">«Третий год у нас развивается инновационная инфраструктура, на сегодняшний день у нас 25 инновационных площадок, третий год работают 11 площадок, второй год – семь, и организаций, которые работают в статусе инновационной площадки первый год тоже семь», - сказала О.Фиофанова.</w:t>
      </w:r>
    </w:p>
    <w:p>
      <w:pPr>
        <w:pStyle w:val="BodyText"/>
      </w:pPr>
      <w:r>
        <w:t xml:space="preserve">Она пояснила, что инновационные площадки распределены по уровням образования, они создаются на базе дошкольных образовательных учреждений, школ, колледжей, университетов, а также на базе образовательных кластеров.</w:t>
      </w:r>
    </w:p>
    <w:p>
      <w:pPr>
        <w:pStyle w:val="BodyText"/>
      </w:pPr>
      <w:r>
        <w:t xml:space="preserve">О.Фиофанова отметила, что в 2013 г. 24 образовательных организаций подали заявки на соискание статуса инновационной площадки, в 2014 г. таких заявок было уже 50.</w:t>
      </w:r>
    </w:p>
    <w:p>
      <w:pPr>
        <w:pStyle w:val="BodyText"/>
      </w:pPr>
      <w:r>
        <w:t xml:space="preserve">В 2015 г. прием заявок осуществляется до 31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http://ostankino.mos.ru/presscenter/news/detail/1657112.html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57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57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2025-02-19T20:31:41Z</dcterms:created>
  <dcterms:modified xsi:type="dcterms:W3CDTF">2025-02-19T20:31:41Z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