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e22026481c736071e3b0da01b5bca1058c333"/>
    <w:p>
      <w:pPr>
        <w:pStyle w:val="Heading3"/>
      </w:pPr>
      <w:r>
        <w:t xml:space="preserve">25 апреля 2015 в Останкинском районе пройдет субботник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drawing>
          <wp:inline>
            <wp:extent cx="5334000" cy="1224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52/subbot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24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Xf3b7724a1fce21573ffe098d7b561f8c0033bcb"/>
    <w:p>
      <w:pPr>
        <w:pStyle w:val="Heading2"/>
      </w:pPr>
      <w:r>
        <w:t xml:space="preserve">Ответственный сотрудник ГБУ «Жилищник Останкинского района»: </w:t>
      </w:r>
    </w:p>
    <w:bookmarkEnd w:id="24"/>
    <w:bookmarkStart w:id="25" w:name="X6eb8e494bad6bde3470d2d912561ef864a2db63"/>
    <w:p>
      <w:pPr>
        <w:pStyle w:val="Heading2"/>
      </w:pPr>
      <w:r>
        <w:t xml:space="preserve">Бандурова Валентина Владимировна, ведущий инженер, 8-495-615-15-12.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http://ostankino.mos.ru/news/detail/1790821.html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79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79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2025-06-17T06:42:00Z</dcterms:created>
  <dcterms:modified xsi:type="dcterms:W3CDTF">2025-06-17T06:42:00Z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