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порядок-действия-при-пожаре-в-офисе"/>
    <w:p>
      <w:pPr>
        <w:pStyle w:val="Heading3"/>
      </w:pPr>
      <w:r>
        <w:t xml:space="preserve">Порядок действия при пожаре в офисе</w:t>
      </w:r>
    </w:p>
    <w:p>
      <w:pPr>
        <w:pStyle w:val="FirstParagraph"/>
      </w:pPr>
      <w:r>
        <w:t xml:space="preserve">24.04.2015</w:t>
      </w:r>
    </w:p>
    <w:p>
      <w:pPr>
        <w:pStyle w:val="BodyText"/>
      </w:pPr>
      <w:r>
        <w:drawing>
          <wp:inline>
            <wp:extent cx="5334000" cy="705729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ostankino.mos.ru/www/upload/medialibrary/58c/pri-pozhare-v-ofise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0572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http://ostankino.mos.ru/news/detail/1794612.html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ostankino.mos.ru" TargetMode="External" /><Relationship Type="http://schemas.openxmlformats.org/officeDocument/2006/relationships/hyperlink" Id="rId23" Target="http://ostankino.mos.ru/news/detail/179461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ostankino.mos.ru" TargetMode="External" /><Relationship Type="http://schemas.openxmlformats.org/officeDocument/2006/relationships/hyperlink" Id="rId23" Target="http://ostankino.mos.ru/news/detail/179461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2025-07-27T01:28:37Z</dcterms:created>
  <dcterms:modified xsi:type="dcterms:W3CDTF">2025-07-27T01:28:37Z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