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ыжигать-сухую-траву-запрещено"/>
    <w:p>
      <w:pPr>
        <w:pStyle w:val="Heading3"/>
      </w:pPr>
      <w:r>
        <w:t xml:space="preserve">Выжигать сухую траву запрещено!</w:t>
      </w:r>
    </w:p>
    <w:p>
      <w:pPr>
        <w:pStyle w:val="FirstParagraph"/>
      </w:pPr>
      <w:r>
        <w:t xml:space="preserve">30.04.2015</w:t>
      </w:r>
    </w:p>
    <w:p>
      <w:pPr>
        <w:pStyle w:val="BodyText"/>
      </w:pPr>
      <w:r>
        <w:drawing>
          <wp:inline>
            <wp:extent cx="5334000" cy="670248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854/vyzhiganie-sukhoy-trav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7024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http://ostankino.mos.ru/news/detail/1813841.html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8138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8138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2025-02-25T01:16:10Z</dcterms:created>
  <dcterms:modified xsi:type="dcterms:W3CDTF">2025-02-25T01:16:10Z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