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9d63c8e64e74051689363885135858a938f70"/>
    <w:p>
      <w:pPr>
        <w:pStyle w:val="Heading3"/>
      </w:pPr>
      <w:r>
        <w:t xml:space="preserve">Молодежный актив Останкинского района провел рейд предприятий потребительского рынка по выявлению товаров с экстремистской символикой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В период майских праздников 2015 молодежным активом Останкинского района был проведен рейд предприятий потребительского рынка по выявлению различных товаров, сувениров и листовок с экстремистской символикой.</w:t>
      </w:r>
    </w:p>
    <w:p>
      <w:pPr>
        <w:pStyle w:val="BodyText"/>
      </w:pPr>
      <w:r>
        <w:t xml:space="preserve">Такие рейды будут проводиться в Останкинском районе с участием молодежи на постоянной основе. </w:t>
      </w:r>
    </w:p>
    <w:p>
      <w:pPr>
        <w:pStyle w:val="BodyText"/>
      </w:pPr>
      <w:r>
        <w:drawing>
          <wp:inline>
            <wp:extent cx="5334000" cy="7151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cf/kazakov-maksi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1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http://ostankino.mos.ru/presscenter/news/detail/1881259.html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881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881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2025-01-11T06:40:42Z</dcterms:created>
  <dcterms:modified xsi:type="dcterms:W3CDTF">2025-01-11T06:40:42Z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