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953ce30b97572c7d10a76dd8858a00bc4161c8"/>
    <w:p>
      <w:pPr>
        <w:pStyle w:val="Heading3"/>
      </w:pPr>
      <w:r>
        <w:t xml:space="preserve">Формируется Молодежная палата Останкинского района</w:t>
      </w:r>
    </w:p>
    <w:p>
      <w:pPr>
        <w:pStyle w:val="FirstParagraph"/>
      </w:pPr>
      <w:r>
        <w:t xml:space="preserve">03.06.2015</w:t>
      </w:r>
    </w:p>
    <w:p>
      <w:pPr>
        <w:pStyle w:val="BodyText"/>
      </w:pPr>
      <w:r>
        <w:t xml:space="preserve">2 июня в управе района состоялось заседание комиссии по формированию Молодежной палаты Останкинского района. В состав комиссии вошли представители Центра молодежного парламентаризма, депутаты Совета депутатов Останкинского района, заместитель главы управы. Заседание прошло в форме собеседования, в ходе которого кандидаты рассказали о себе, о своих проектах и ожиданиях от участия в Молодежной палате.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http://ostankino.mos.ru/news/detail/1908534.html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90853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90853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2025-08-03T15:56:51Z</dcterms:created>
  <dcterms:modified xsi:type="dcterms:W3CDTF">2025-08-03T15:56:51Z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