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9065c9670b06bbf8310206a2f7fc8bd3f2855"/>
    <w:p>
      <w:pPr>
        <w:pStyle w:val="Heading3"/>
      </w:pPr>
      <w:r>
        <w:t xml:space="preserve">На территории Останкинского района проводятся публичные слушания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t xml:space="preserve">На публичные слушания представляется проект межевания территории квартала, ограниченного проездом Дубовой Рощи, Новомосковской улицей, границей зоны регулирования застройки ПИК № 26.</w:t>
      </w:r>
    </w:p>
    <w:p>
      <w:pPr>
        <w:pStyle w:val="BodyText"/>
      </w:pPr>
      <w:r>
        <w:t xml:space="preserve">С материалами по теме публичных слушаний можно ознакомится в разделе "Публичные слушания"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http://ostankino.mos.ru/news/detail/1988114.html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81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81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2024-11-24T13:47:05Z</dcterms:created>
  <dcterms:modified xsi:type="dcterms:W3CDTF">2024-11-24T13:47:05Z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