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94c1d4a742edb86b49c45276ba4e25bfe22790"/>
    <w:p>
      <w:pPr>
        <w:pStyle w:val="Heading3"/>
      </w:pPr>
      <w:r>
        <w:t xml:space="preserve">Независимая оценка пожарного риска объектов защиты</w:t>
      </w:r>
    </w:p>
    <w:p>
      <w:pPr>
        <w:pStyle w:val="FirstParagraph"/>
      </w:pPr>
      <w:r>
        <w:t xml:space="preserve">31.07.2015</w:t>
      </w:r>
    </w:p>
    <w:p>
      <w:pPr>
        <w:pStyle w:val="BodyText"/>
      </w:pPr>
      <w:r>
        <w:t xml:space="preserve">В соответствии с №123-ФЗ «Технический регламент о требованиях пожарной безопасности» оценка соответствия объектов защиты (продукции), организаций, осуществляющих подтверждение соответствия процессов проектирования, производства, строительства, монтажа, наладки, эксплуатации, хранения, перевозки, реализации и утилизации, требованиям пожарной безопасности, установленным техническими регламентами, принятыми в соответствии с Федеральным законом "О техническом регулировании", нормативными документами по пожарной безопасности, и условиям договоров может проводиться как в форме федерального государственного пожарного надзора - проведение соответствующих мероприятий по надзору (проверок), так и в форме независимой оценки пожарного риска (аудита пожарной безопасности) (далее НОР).</w:t>
      </w:r>
    </w:p>
    <w:p>
      <w:pPr>
        <w:pStyle w:val="BodyText"/>
      </w:pPr>
      <w:r>
        <w:t xml:space="preserve">Порядок оценки соответствия объектов защиты (продукции) требованиям пожарной безопасности, установленным федеральными законами о технических регламентах и нормативными документами по пожарной безопасности, путем независимой оценки пожарного риска регламентирован Постановлением Правительства Российской Федерации от 7 апреля 2009 г. N 304.</w:t>
      </w:r>
    </w:p>
    <w:p>
      <w:pPr>
        <w:pStyle w:val="BodyText"/>
      </w:pPr>
      <w:r>
        <w:t xml:space="preserve">Действия сотрудников органов федерального государственного пожарного надзора в случае проведения на объекте защиты НОР регламентированы Административным регламентом МЧС России по исполнению государственной функции по надзору за выполнением обязательных требований пожарной безопасности, в том числе по исключению из планов проверок объектов защиты с НОР.</w:t>
      </w:r>
    </w:p>
    <w:p>
      <w:pPr>
        <w:pStyle w:val="BodyText"/>
      </w:pPr>
      <w:r>
        <w:rPr>
          <w:bCs/>
          <w:b/>
        </w:rPr>
        <w:t xml:space="preserve">Берегите свое имущество от пожара!</w:t>
      </w:r>
    </w:p>
    <w:p>
      <w:pPr>
        <w:pStyle w:val="BodyText"/>
      </w:pPr>
      <w:r>
        <w:rPr>
          <w:bCs/>
          <w:b/>
        </w:rPr>
        <w:t xml:space="preserve">Вызов пожарных и спасателей</w:t>
      </w:r>
    </w:p>
    <w:p>
      <w:pPr>
        <w:pStyle w:val="BodyText"/>
      </w:pPr>
      <w:r>
        <w:rPr>
          <w:bCs/>
          <w:b/>
        </w:rPr>
        <w:t xml:space="preserve">с городского телефона- 101</w:t>
      </w:r>
    </w:p>
    <w:p>
      <w:pPr>
        <w:pStyle w:val="BodyText"/>
      </w:pPr>
      <w:r>
        <w:rPr>
          <w:bCs/>
          <w:b/>
        </w:rPr>
        <w:t xml:space="preserve">с мобильного- 112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http://ostankino.mos.ru/news/detail/2044621.html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20446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20446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2025-08-03T04:45:23Z</dcterms:created>
  <dcterms:modified xsi:type="dcterms:W3CDTF">2025-08-03T04:45:23Z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