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c45ee995e599b7179d01edd4aa175eaf252ef"/>
    <w:p>
      <w:pPr>
        <w:pStyle w:val="Heading3"/>
      </w:pPr>
      <w:r>
        <w:t xml:space="preserve">Молодые парламентарии района посетили Московскую Городскую Думу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t xml:space="preserve">7 октября молодые парламентарии районов Южное и Северное Медведково, Марфино, Алтуфьево, Свиблово и Отрадное посетили Московскую Городскую Думу. Во время экскурсии ребятам показали здание МГД, залы заседаний, в которых обсуждаются и принимаются важнейшие для нашего города законы. Молодым людям удалось в живую понаблюдать за работой депутатского корпуса во время очередного заседания.</w:t>
      </w:r>
    </w:p>
    <w:p>
      <w:pPr>
        <w:pStyle w:val="BodyText"/>
      </w:pPr>
      <w:r>
        <w:t xml:space="preserve">После экскурсии с ребятами встретился Председатель Московской городской Думы Алексей Валерьевич Шапошников, который ответил на их вопросы и обсудил предстоящие окружные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http://ostankino.mos.ru/news/detail/2213856.html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13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13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2025-07-22T12:02:33Z</dcterms:created>
  <dcterms:modified xsi:type="dcterms:W3CDTF">2025-07-22T12:02:33Z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