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2b19b74f3a4157a6162b7abace6dd42cbf46"/>
    <w:p>
      <w:pPr>
        <w:pStyle w:val="Heading3"/>
      </w:pPr>
      <w:r>
        <w:t xml:space="preserve">МосгорБТИ поддерживает новый закон Мосгордумы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Мосгордума приняла в окончательной редакции закон, в соответствии с которым, полномочия по присвоению, изменению и аннулированию адресов на территории поселений в Новой Москве полностью переходят к органам исполнительной власти.</w:t>
      </w:r>
    </w:p>
    <w:p>
      <w:pPr>
        <w:pStyle w:val="BodyText"/>
      </w:pPr>
      <w:r>
        <w:t xml:space="preserve">МосгорБТИ поддерживает принятый столичным парламентом данное распоряжение. «Закон поможет решить ряд проблем с недвижимостью. Прежде всего, это касается оформления прописки и регистрации права собственности. Мы исключаем из документов повторяющиеся, неполные или неточные наименования, присваиваем адреса новым объектам, в том числе индивидуального строительства, приводим адресацию объектов на присоединенных территорий к действующим в столице нормам», - пояснил генеральный директор ГБУ МосгорБТИ Денис Суслов. Он добавил, что адресная регистрация объектов недвижимости и оформление справок об идентификации адресов проводятся по заявлениям юридических и физических лиц. «Однако часть многоквартирных жилых домов и объектов социального назначения присоединенных территорий уже адресованы по инициативе МосгорБТИ», - подчеркнул руководитель ведомства.</w:t>
      </w:r>
    </w:p>
    <w:p>
      <w:pPr>
        <w:pStyle w:val="BodyText"/>
      </w:pPr>
      <w:r>
        <w:t xml:space="preserve">Напомним, к 1 сентября 2015 года на территории ТиНАО присвоены адреса более чем 5800 объектам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http://ostankino.mos.ru/presscenter/news/detail/2220081.html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0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0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2025-08-03T14:44:17Z</dcterms:created>
  <dcterms:modified xsi:type="dcterms:W3CDTF">2025-08-03T14:44:17Z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