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1615bdb58808b026738e9e9d91dd39998e167"/>
    <w:p>
      <w:pPr>
        <w:pStyle w:val="Heading3"/>
      </w:pPr>
      <w:r>
        <w:t xml:space="preserve">В Московской городской военной прокуратуре будет проводится "прямая линия" с гражданами по вопросам антикоррупционного просвещения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t xml:space="preserve">В целях исполнения Программы по антикоррупционному просвещению на 2014-2016 годы, утвержденной распоряжением Правительства Российской Федерации от 14 мая 2014 года, в Московской городской военной прокуратуре с 9 до 17 часов 17 ноября 2015 года будет проводиться "прямая линия" с гражданами по вопросам антикоррупционного просвещения.</w:t>
      </w:r>
    </w:p>
    <w:p>
      <w:pPr>
        <w:pStyle w:val="BodyText"/>
      </w:pPr>
      <w:r>
        <w:t xml:space="preserve">Телефон "прямой линии": 8-495-693-56-21.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http://ostankino.mos.ru/news/detail/2301456.html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1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1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2025-08-03T17:19:54Z</dcterms:created>
  <dcterms:modified xsi:type="dcterms:W3CDTF">2025-08-03T17:19:54Z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