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8e7854a97f4a779b78b12081c6cd28c7ac518f"/>
    <w:p>
      <w:pPr>
        <w:pStyle w:val="Heading3"/>
      </w:pPr>
      <w:r>
        <w:t xml:space="preserve">Портал госуслуг предлагает родителям учащихся новые возможности</w:t>
      </w:r>
    </w:p>
    <w:p>
      <w:pPr>
        <w:pStyle w:val="FirstParagraph"/>
      </w:pPr>
      <w:r>
        <w:t xml:space="preserve">10.12.2015</w:t>
      </w:r>
    </w:p>
    <w:bookmarkEnd w:id="20"/>
    <w:bookmarkStart w:id="25" w:name="X1d5374fa13a8132ebf01310154f64d5f433fa48"/>
    <w:p>
      <w:pPr>
        <w:pStyle w:val="Heading1"/>
      </w:pPr>
      <w:r>
        <w:t xml:space="preserve">Всего в голосовании по выбору дополнительных образовательных услуг, которые можно оплатить с помощью портала</w:t>
      </w:r>
      <w:r>
        <w:t xml:space="preserve"> </w:t>
      </w:r>
      <w:hyperlink r:id="rId21">
        <w:r>
          <w:rPr>
            <w:rStyle w:val="Hyperlink"/>
          </w:rPr>
          <w:t xml:space="preserve">pgu.mos.ru</w:t>
        </w:r>
      </w:hyperlink>
      <w:r>
        <w:t xml:space="preserve">, приняли участие 253 710 пользователей проекта</w:t>
      </w:r>
      <w:r>
        <w:t xml:space="preserve"> </w:t>
      </w:r>
      <w:hyperlink r:id="rId22">
        <w:r>
          <w:rPr>
            <w:rStyle w:val="Hyperlink"/>
          </w:rPr>
          <w:t xml:space="preserve">«Активный гражданин»</w:t>
        </w:r>
      </w:hyperlink>
      <w:r>
        <w:t xml:space="preserve">. Большинство поддержало идею оплаты через Портал государственных услуг кружков и секций в школах и детских садах. Немало москвичей высказались и за то, чтобы появилась подобная возможность оплаты занятий в спортивных секциях и спортшколах, а также в детских музыкальных и художественных школах. Все эти дополнительные образовательные услуги теперь можно оплатить на Портале государственных услуг города Москвы.</w:t>
      </w:r>
    </w:p>
    <w:p>
      <w:pPr>
        <w:pStyle w:val="FirstParagraph"/>
      </w:pPr>
      <w:r>
        <w:t xml:space="preserve">Чтобы проверить начисления, нужно выбрать соответствующую категорию в разделе «Оплата», а затем – интересующее учреждение и услугу. Запрос суммы оплаты можно осуществить, введя один или нескольких параметров: номер лицевого счета или договора, реквизиты документов: паспорта гражданина РФ, СНИЛС ребенка или свидетельства о рождении. Тогда система выдаст сумму, которую можно тут же оплатить. Квитанцию об оплате печатать необязательно – оплаченную сумму учреждения видят в единой учетной системе.</w:t>
      </w:r>
    </w:p>
    <w:p>
      <w:pPr>
        <w:pStyle w:val="BodyText"/>
      </w:pPr>
      <w:r>
        <w:t xml:space="preserve">Кроме того, теперь родители учеников смогут устанавливать отдельные лимиты расходов на горячее питание и буфет. В «Активном гражданине» по вопросу выбора дополнительных функций для электронной карты школьника «Проход и питание» проголосовали 284 352 москвича. 30% выбрали возможность установить лимит расходов по карте, 26% – возможность запрета на покупку некоторых видов продукции, 17% – разделение расходов на «горячее питание» и «буфет» и 13% – предварительный заказ горячего питания и др.</w:t>
      </w:r>
    </w:p>
    <w:p>
      <w:pPr>
        <w:pStyle w:val="BodyText"/>
      </w:pPr>
      <w:r>
        <w:t xml:space="preserve">Напомним, что принять участие в голосованиях в проекте «Активный гражданин» могут все жители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http://ostankino.mos.ru/presscenter/news/detail/2366540.html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g.mos.ru/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66540.html" TargetMode="External" /><Relationship Type="http://schemas.openxmlformats.org/officeDocument/2006/relationships/hyperlink" Id="rId21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g.mos.ru/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66540.html" TargetMode="External" /><Relationship Type="http://schemas.openxmlformats.org/officeDocument/2006/relationships/hyperlink" Id="rId21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2025-05-17T18:57:50Z</dcterms:created>
  <dcterms:modified xsi:type="dcterms:W3CDTF">2025-05-17T18:57:50Z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