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79874ef1ab5d5ed74692a37f3eefcef74ea34"/>
    <w:p>
      <w:pPr>
        <w:pStyle w:val="Heading3"/>
      </w:pPr>
      <w:r>
        <w:t xml:space="preserve">Активные граждане определили новый график работы катков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По инициативе Департамента жилищно-коммунального хозяйства и благоустройства города Москвы в период с 23 сентября 2015 г. по 23 октября 2015 г. на проекте «Активный гражданин» проведено голосование по вопросу графика работы районных катков.</w:t>
      </w:r>
    </w:p>
    <w:p>
      <w:pPr>
        <w:pStyle w:val="BodyText"/>
      </w:pPr>
      <w:r>
        <w:t xml:space="preserve">По итогам данного голосования был установлен график работы катка с искусственным льдом, расположенного по адресу: Прудовой проезд, д.10 с 09.00 до 23.00.</w:t>
      </w:r>
    </w:p>
    <w:p>
      <w:pPr>
        <w:pStyle w:val="BodyText"/>
      </w:pPr>
      <w:r>
        <w:t xml:space="preserve">Время занятий по хоккею: пн, ср, пт. юноши: с 17.00-19.00; взрослые: с 21.00-23.00.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http://ostankino.mos.ru/presscenter/news/detail/2404154.html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04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04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2025-06-14T00:06:56Z</dcterms:created>
  <dcterms:modified xsi:type="dcterms:W3CDTF">2025-06-14T00:06:56Z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