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742ef3640431dd1a2d8698360b497089e473a"/>
    <w:p>
      <w:pPr>
        <w:pStyle w:val="Heading3"/>
      </w:pPr>
      <w:r>
        <w:t xml:space="preserve">Государство возьмет под охрану в 2016 году около двадцати объектов в Центральном округе Москвы</w:t>
      </w:r>
    </w:p>
    <w:p>
      <w:pPr>
        <w:pStyle w:val="FirstParagraph"/>
      </w:pPr>
      <w:r>
        <w:t xml:space="preserve">19.02.2016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Левкин и руководитель Департамента культурного наследия города Москвы Алексей Емельянов 18 февраля провели пресс-конференцию.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 заслушан их отчет об итогах реализации программы благоустройства и развития центра города за 5-летний период. Как сообщил Сергей Левкин, ЦАО является особой территорией, ее благоустройству нужно уделять особое внимание.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Наша главная задача – сохранение, благоустройство и насыщение функциями общественного пространства центра города, – отметил Сергей Левкин.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Алексей Емельянов заявил, что около 20 объектов в ЦАО будут взяты под охрану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2015 году было сдано 7 знаковых объектов ЦАО, в 2015 году открыли малую сцену театра Вахтангова и завершили 3 этапа реконструкции Консерватории им. Чайковского. Обновляются Пушкинский и Политехнический музеи, Третьяковская галерея. Комплексно развивается территория стадиона Лужники, активное строительство ведется в Зарядье.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эксперта, программу по благоустройству центра Москвы запустили в 2011 года. И назначение недвижимости в ЦАО кардинально поменялось. Раньше приоритетом были офисные помещения, но уже в 2014 году ввели в эксплуатацию 261 тысяча кв.м. жилых помещений, в 2015 –370 тысяч кв.м. При этом в городе не планируется активная застройка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Развиваются и парковки - с 2011 года было в эксплуатацию сдали около74 тысяч мест, 39 тысяч из которых встроены в объекты строительства, а 35 тысяч - в подэстакадных пространствах.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http://ostankino.mos.ru/news/detail/2537850.html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37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37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2024-09-26T00:34:12Z</dcterms:created>
  <dcterms:modified xsi:type="dcterms:W3CDTF">2024-09-26T00:34:12Z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