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69f23851287ec85619f9e949e7b13a661d201"/>
    <w:p>
      <w:pPr>
        <w:pStyle w:val="Heading3"/>
      </w:pPr>
      <w:r>
        <w:t xml:space="preserve">Объем средств на благоустройство районов Москвы вырастет в два раза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rPr>
          <w:iCs/>
          <w:i/>
          <w:bCs/>
          <w:b/>
        </w:rPr>
        <w:t xml:space="preserve">Районы столицы получат очередной транш средств стимулирования от платных парковок, НДФЛ с аренды жилья и патентов для индивидуальных предпринимателей в марте 2016 года. Об этом сообщила заместитель мэра Москвы Наталья Сергунина в ходе заседания правительства Москвы 15 марта.</w:t>
      </w:r>
    </w:p>
    <w:p>
      <w:pPr>
        <w:pStyle w:val="BodyText"/>
      </w:pPr>
      <w:r>
        <w:t xml:space="preserve">Средства в размере 1,25 миллиарда рублей будут направлены в районы в середине марта. Это деньги, которые сами районы заработали в виде поступлений от патентной системы налогообложения, платных парковок и налогов на доходы физических лиц, сдающих жилые помещения в аренду. Общий объем средств стимулирования управ составит в этом году 6,2 миллиарда рублей. Первый транш в размере почти пяти миллиардов поступил еще в начале января, чтобы управы могли заблаговременно планировать решение важнейших задач по благоустройству. На текущий момент средства распределены, все объекты благоустройства согласованы муниципальными депутатами с учетом мнения жителей, а управы районов уже приступили к конкурсным процедурам по отбору подрядчиков.</w:t>
      </w:r>
    </w:p>
    <w:p>
      <w:pPr>
        <w:pStyle w:val="BodyText"/>
      </w:pPr>
      <w:r>
        <w:t xml:space="preserve">Напомним, с 2016 года в Москве введен новый порядок доведения средств стимулирования до управ районов. Теперь увеличился объем финансирования управ за счет средств стимулирования, а округам предоставлена большая свобода в части использования этих средств за счет расширения круга мероприятий, на реализацию которых они могут быть направлены. В числе новых направлений расходования – приведение в порядок парков и улиц, адаптация городской среды для маломобильных групп населения. Проекты для реализации согласовываются управами районов с Советами депутатов муниципальных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http://ostankino.mos.ru/presscenter/news/detail/2632356.html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632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632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2025-05-13T02:23:36Z</dcterms:created>
  <dcterms:modified xsi:type="dcterms:W3CDTF">2025-05-13T02:23:36Z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