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947288ca9fa41d4717439aa6c03beefb8b564"/>
    <w:p>
      <w:pPr>
        <w:pStyle w:val="Heading3"/>
      </w:pPr>
      <w:r>
        <w:t xml:space="preserve">Изменились реквизиты финансового оператора в ЕПД</w:t>
      </w:r>
    </w:p>
    <w:p>
      <w:pPr>
        <w:pStyle w:val="FirstParagraph"/>
      </w:pPr>
      <w:r>
        <w:t xml:space="preserve">27.04.2016</w:t>
      </w:r>
    </w:p>
    <w:p>
      <w:pPr>
        <w:pStyle w:val="BodyText"/>
      </w:pPr>
      <w:r>
        <w:rPr>
          <w:iCs/>
          <w:i/>
          <w:bCs/>
          <w:b/>
        </w:rPr>
        <w:t xml:space="preserve">Информация о получателе денежных средств и его реквизитах, содержащаяся в Едином платежном документе, изменится с июня 2016 года. Изменения связаны с реорганизацией ОАО «Банк Москвы» и передачей функции финансового оператора системы ЕИРЦ в Банк ВТБ.</w:t>
      </w:r>
    </w:p>
    <w:p>
      <w:pPr>
        <w:pStyle w:val="BodyText"/>
      </w:pPr>
      <w:r>
        <w:t xml:space="preserve">Так, новый Единый платежный документ, который получат москвичи, будет содержать следующие сведения в строке «Счет по сбору платежей за ЖКУ и прочие услуги района (название района): наименование банка - филиал «Центральный» Банка ВТБ (ПАО) - вместо ОАО «Банк Москвы», ИНН, к/счет, БИК». Отметим, что изменение реквизитов не потребует изменения текущей нумерации счетов по сбору платежей за жилищно-коммунальные услуги.</w:t>
      </w:r>
    </w:p>
    <w:p>
      <w:pPr>
        <w:pStyle w:val="BodyText"/>
      </w:pPr>
      <w:r>
        <w:t xml:space="preserve">В Едином платежном документе в строке «Счет по сбору платежей за ЖКУ и прочие услуги района (название района) будут указаны следующие реквизиты:</w:t>
      </w:r>
    </w:p>
    <w:p>
      <w:pPr>
        <w:pStyle w:val="BodyText"/>
      </w:pPr>
      <w:r>
        <w:t xml:space="preserve">наименование – филиал «Центральный» Банка ВТБ (ПАО);</w:t>
      </w:r>
    </w:p>
    <w:p>
      <w:pPr>
        <w:pStyle w:val="BodyText"/>
      </w:pPr>
      <w:r>
        <w:t xml:space="preserve">номер корреспондентского счета – 30101810145250000411;</w:t>
      </w:r>
    </w:p>
    <w:p>
      <w:pPr>
        <w:pStyle w:val="BodyText"/>
      </w:pPr>
      <w:r>
        <w:t xml:space="preserve">номер банковского идентификационного кода (БИК) – 044525411;</w:t>
      </w:r>
    </w:p>
    <w:p>
      <w:pPr>
        <w:pStyle w:val="BodyText"/>
      </w:pPr>
      <w:r>
        <w:t xml:space="preserve">идентификационный номер налогоплательщика (ИНН) – 7702070139.</w:t>
      </w:r>
    </w:p>
    <w:p>
      <w:pPr>
        <w:pStyle w:val="BodyText"/>
      </w:pPr>
      <w:r>
        <w:t xml:space="preserve">Единые платежные документы с новыми реквизитами являются подлинными и подлежат своевременной оплате.</w:t>
      </w:r>
    </w:p>
    <w:p>
      <w:pPr>
        <w:pStyle w:val="BodyText"/>
      </w:pPr>
      <w:r>
        <w:drawing>
          <wp:inline>
            <wp:extent cx="5334000" cy="36040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fff/snimo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4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http://ostankino.mos.ru/news/detail/2857807.html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857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857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2024-11-18T01:06:59Z</dcterms:created>
  <dcterms:modified xsi:type="dcterms:W3CDTF">2024-11-18T01:06:59Z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