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cddf42ba4684154f9b41dc5f0f6882e40bd7e"/>
    <w:p>
      <w:pPr>
        <w:pStyle w:val="Heading3"/>
      </w:pPr>
      <w:r>
        <w:t xml:space="preserve">Большинство отелей Москвы получило звезды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rPr>
          <w:iCs/>
          <w:i/>
          <w:bCs/>
          <w:b/>
        </w:rPr>
        <w:t xml:space="preserve">Свыше 90 процентов отелей и гостиниц в Москве прошли государственную аккредитацию до первого июля — такое время дано для классификации отелей в городах, которые проведут Чемпионат мира-2018.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сообщил журналистам глава столичного департамента национальной политики, межрегиональных связей и туризма Владимир Черников в ходе брифинга, прошедшего 29 июня.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На сегодняшний день в Москве, по статистике, представленной в Министерство культуры, мы классифицировали 93 процента средств размещения, — 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Мосгорстата на 2014 год в столице было 495 гостиниц. За последние два года их число значительно возросло. На сегодняшний день, по словам Черникова, число таких место выросло до 1094, включая хостелы. Стоит отметить, что теперь в системах бронирования, таких как «Booking.com», информация о коллективных средствах размещения обязательно будет включать в себя категорию звездности.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Те, кто не успел аккредитоваться и получить звезды, смогут это сделать в течение следующего полугодия: правительство Москвы направило в Совет Федерации предложение о продлении сроков до первого января. А вот те, кто не посчитает нужным перейти в легальное поле деятельности, грозит административная ответственность. Ожидается, что минимальный размер штрафа за предоставление гостиничных услуг без свидетельства о присвоении категории вырастет почти до полумиллиона.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http://ostankino.mos.ru/news/detail/3262907.html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62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62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2025-05-13T00:41:41Z</dcterms:created>
  <dcterms:modified xsi:type="dcterms:W3CDTF">2025-05-13T00:41:41Z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