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c2bd57194ded432490a102064318d48f1153d"/>
    <w:p>
      <w:pPr>
        <w:pStyle w:val="Heading3"/>
      </w:pPr>
      <w:r>
        <w:t xml:space="preserve">Явка в Москве выше, чем на предыдущих выборах мэра</w:t>
      </w:r>
    </w:p>
    <w:p>
      <w:pPr>
        <w:pStyle w:val="FirstParagraph"/>
      </w:pPr>
      <w:r>
        <w:t xml:space="preserve">18.09.2016</w:t>
      </w:r>
    </w:p>
    <w:p>
      <w:pPr>
        <w:pStyle w:val="BodyText"/>
      </w:pPr>
      <w:r>
        <w:rPr>
          <w:iCs/>
          <w:i/>
          <w:bCs/>
          <w:b/>
        </w:rPr>
        <w:t xml:space="preserve">В Мосгоризбиркоме вечером ожидают роста явки избирателей на участки для голосования в Москве. Об этом сообщил, руководитель аппарата, начальник отдела обеспечения деятельности членов Мосгоризбиркома Дмитрий Реут.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Общественного штаба по наблюдению за выборами в Госдуму Алексей Венедиктов, заявил, что на выборах депутатов Госдумы 18 сентября 2016 г. явка будет выше, чем была на выборах мэра Москвы в 2013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Партийный список допускается до распределения депутатских мандатов при результате более пяти процентов голосов, а при результате более трех процентов партии получают государственное финансирование и освобождаются от сбора подписей на следующих выборах в Госдуму. Выборы в Госдуму проходят по смешанной системе. Алексей Венедиктов отметил, что уже очевидно, что в Москве явка будет примерно сорок-сорок пять процентов.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http://ostankino.mos.ru/news/detail/3772028.html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2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3772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2025-06-01T23:10:48Z</dcterms:created>
  <dcterms:modified xsi:type="dcterms:W3CDTF">2025-06-01T23:10:48Z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