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a6fbce97ed4c07ffdafb9b1a0cd16595be270"/>
    <w:p>
      <w:pPr>
        <w:pStyle w:val="Heading3"/>
      </w:pPr>
      <w:r>
        <w:t xml:space="preserve">Отопление включили во всех домах и соцобъектах Москвы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rPr>
          <w:iCs/>
          <w:i/>
          <w:bCs/>
          <w:b/>
        </w:rPr>
        <w:t xml:space="preserve">Заммэра по вопросам ЖКХ и благоустройства Петр Бирюков на заседании президиума правительства столицы доложил мэру города Сергею Собянину, что тепло в Москве уже поступило во все социальные объекты и жилые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первую очередь отопление включают в детских садах, школах, больницах, поликлиниках и других объектах социальной сферы, а потом его включают в жилых домах. Когда среднесуточная температура воздуха не превышает плюс восемь градусов в течение пяти дней, то, по нормативам, включается отопление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Отопление стартовало без сбоев. Сейчас уже полностью завершили подготовка к прохождению осеннее-зимнего периода. В этом году отопительный сезон в Москве стартовал раньше, 20 сентября. Все службы ТЭК и ЖКХ готовы к холодному сезону.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http://ostankino.mos.ru/news/detail/3884287.html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84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84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2025-03-18T00:00:19Z</dcterms:created>
  <dcterms:modified xsi:type="dcterms:W3CDTF">2025-03-18T00:00:19Z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