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67dcf03b3e5bcd31e1405ad71434162d81cbbc"/>
    <w:p>
      <w:pPr>
        <w:pStyle w:val="Heading3"/>
      </w:pPr>
      <w:r>
        <w:t xml:space="preserve">В столице приняты серьезные меры поддержки горожан</w:t>
      </w:r>
    </w:p>
    <w:p>
      <w:pPr>
        <w:pStyle w:val="FirstParagraph"/>
      </w:pPr>
      <w:r>
        <w:t xml:space="preserve">01.04.2020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Правительство Москвы расширило меры поддержки жителей столицы в условиях сложившейся эпидемиологической обстановки. Полный вариант постановления представлен на официальном портале мэра столицы mos.ru.</w:t>
      </w:r>
    </w:p>
    <w:p>
      <w:pPr>
        <w:pStyle w:val="BodyText"/>
      </w:pPr>
      <w:r>
        <w:t xml:space="preserve">Срок уплаты аванса за первый квартал 2020 года по налогу на имущество и землю организациям в сфере торговли, общественного питания, туризма, культуры, спорта и гостиничного бизнеса будет продлен до 31 декабря 2020 года.</w:t>
      </w:r>
    </w:p>
    <w:p>
      <w:pPr>
        <w:pStyle w:val="BodyText"/>
      </w:pPr>
      <w:r>
        <w:t xml:space="preserve">Предприниматели и организации, которые вынуждены были приостановить свою деятельность, смогут освободиться от оплаты аренды земельных участков, что в собственности Москвы.</w:t>
      </w:r>
    </w:p>
    <w:p>
      <w:pPr>
        <w:pStyle w:val="BodyText"/>
      </w:pPr>
      <w:r>
        <w:t xml:space="preserve">Кроме того, от арендной платы за срок временного приостановления деятельности освободят государственные и казенные предприятия.</w:t>
      </w:r>
    </w:p>
    <w:p>
      <w:pPr>
        <w:pStyle w:val="BodyText"/>
      </w:pPr>
      <w:r>
        <w:t xml:space="preserve">Экономическую поддержку так же получат собственники торговых комплексов, объектов общественного питания и бытового обслуживания, которые также пострадали из-за коронавируса.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http://ostankino.mos.ru/presscenter/news/detail/8802642.html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88026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88026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2025-06-02T00:55:10Z</dcterms:created>
  <dcterms:modified xsi:type="dcterms:W3CDTF">2025-06-02T00:55:10Z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