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fd7dacfa948da9bdae99c2cab26cfaef49b2c"/>
    <w:p>
      <w:pPr>
        <w:pStyle w:val="Heading3"/>
      </w:pPr>
      <w:r>
        <w:t xml:space="preserve">Основные мероприятия,проводимые с 3 по 9 марта 2014 года</w:t>
      </w:r>
    </w:p>
    <w:p>
      <w:pPr>
        <w:pStyle w:val="FirstParagraph"/>
      </w:pPr>
      <w:r>
        <w:t xml:space="preserve">26.02.2014</w:t>
      </w:r>
    </w:p>
    <w:p>
      <w:pPr>
        <w:pStyle w:val="BodyText"/>
      </w:pPr>
      <w:r>
        <w:t xml:space="preserve">Информация об основных мероприятиях,проводимых управой и органами местного самоуправления Останкинского района с 3 марта 2014 по 9 марта 2014 года. Подробная информация о мероприятиях находится во вложенном файле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http://ostankino.mos.ru/news/detail/960263.html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60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60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2025-05-25T16:43:31Z</dcterms:created>
  <dcterms:modified xsi:type="dcterms:W3CDTF">2025-05-25T16:43:31Z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