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1d1cab0731234b3dec5e44c8ac12a73abcbbe"/>
    <w:p>
      <w:pPr>
        <w:pStyle w:val="Heading3"/>
      </w:pPr>
      <w:r>
        <w:t xml:space="preserve">Прокуратурой в порядке организации надзора за соблюдением экономических интересов Российской Федерации изучены материалы уголовного дела по обвинению руководителя автономной некоммерческой организации в совершении преступления, предусмотренного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Прокуратурой округа в порядке организации надзора за соблюдением экономических интересов Российской Федерации изучены материалы уголовного дела по обвинению руководителя автономной некоммерческой организации в совершении преступления, предусмотренного п. «б» ч. 2 ст. 199 УК РФ.</w:t>
      </w:r>
    </w:p>
    <w:p>
      <w:pPr>
        <w:pStyle w:val="BodyText"/>
      </w:pPr>
      <w:r>
        <w:t xml:space="preserve">По результатам рассмотрения уголовного дела мужчина признан виновным в совершении вышеуказанного преступления, обусловленного неуплатой в 2016–2017 годах налогов на добавленную стоимость и на прибыль организации в общей сумме свыше 45,1 млн рублей (осужден к лишению свободы условно сроком на 1 год с испытательным сроком 2 года).</w:t>
      </w:r>
    </w:p>
    <w:p>
      <w:pPr>
        <w:pStyle w:val="BodyText"/>
      </w:pPr>
      <w:r>
        <w:t xml:space="preserve">Учитывая, что ущерб, причиненный бюджетной системе Российской Федерации в результате уклонения от уплаты налогов путем представления в налоговый орган налоговых деклараций, содержащих заведомо не соответствующие действительности сведения, не возмещен, прокурор округа обратился в суд с исковым заявлением о взыскании суммы неуплаченных налогов с директора автономной некоммерческой организации.</w:t>
      </w:r>
    </w:p>
    <w:p>
      <w:pPr>
        <w:pStyle w:val="BodyText"/>
      </w:pPr>
      <w:r>
        <w:t xml:space="preserve">Решением Красногорского городского суда Московской области от 14.12.2021 исковые требования прокурора округа удовлетворены в полном объеме. После вступления судебного акта в законную силу будут приняты установленные законодательством меры по его исполнению.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http://ostankino.mos.ru/the-prosecutor-explains/detail/10574919.html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2025-07-01T05:56:16Z</dcterms:created>
  <dcterms:modified xsi:type="dcterms:W3CDTF">2025-07-01T05:56:16Z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