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2f1c70e4e14d9d9c079334421dc204318b4a73"/>
    <w:p>
      <w:pPr>
        <w:pStyle w:val="Heading3"/>
      </w:pPr>
      <w:r>
        <w:t xml:space="preserve">Прокуратура СВАО информирует: утверждены два обвинительных заключения и проведена проверка</w:t>
      </w:r>
    </w:p>
    <w:p>
      <w:pPr>
        <w:pStyle w:val="FirstParagraph"/>
      </w:pPr>
      <w:r>
        <w:t xml:space="preserve">02.12.2022</w:t>
      </w:r>
    </w:p>
    <w:p>
      <w:pPr>
        <w:pStyle w:val="BodyText"/>
      </w:pPr>
      <w:r>
        <w:t xml:space="preserve">1. Прокуратурой Северо-Восточного административного округа г. Москвы утверждено обвинительное заключение по уголовному делу по обвинению бывшего сотрудника отдела по контролю за оборотом наркотиков УВД по ЮВАО ГУ МВД России по г. Москве в совершении преступлений, предусмотренных ч. 3 ст. 159 и п. «б» ч. 3 ст. 286 УК РФ. Предварительное расследование осуществлялось СУ по СВАО ГСУ СК России по г. Москве.</w:t>
      </w:r>
    </w:p>
    <w:p>
      <w:pPr>
        <w:pStyle w:val="BodyText"/>
      </w:pPr>
      <w:r>
        <w:t xml:space="preserve">Следствием установлено, что в начале сентября 2020 года оперуполномоченные отдела по контролю за оборотом наркотиков УВД по ЮВАО ГУ МВД России по г. Москве подошли к потерпевшему С., находящемуся в своем автомобиле, и, превышая свои полномочия, используя специальные средства-наручники, произвели досмотр вещей последнего, затем силой посадили в автомобиль и длительное время удерживали потерпевшего С. в автомобиле, лишая его свободы передвижения. После чего, введя потерпевшего С. в заблуждение относительно законности своих действий, под видом производства оперативно-розыскных мероприятий, продемонстрировали ему бумажный стаканчик с неустановленным веществом, сообщив, что обнаружили его в автомашине задержанного (потерпевшего С.), выдвинув требования о передаче им за не привлечение к уголовной ответственности за хранение наркотических средств – 300.000 рублей. Далее, обвиняемые проследовали с потерпевшим С. к банкомату, где получили требуемую сумму денежных средств.</w:t>
      </w:r>
    </w:p>
    <w:p>
      <w:pPr>
        <w:pStyle w:val="BodyText"/>
      </w:pPr>
      <w:r>
        <w:t xml:space="preserve">По аналогичной схеме через два дня оперуполномоченные указанного отдела подошли к потерпевшему К. и, превышая свои полномочия, используя специальные средства-наручники, насильно посадили в свою автомашину, после чего, длительное время удерживали его и лишали свободы передвижения, а затем введя потерпевшего К. в заблуждение относительно законности своих действий, под видом производства оперативно-розыскных мероприятий, продемонстрировали потерпевшему К. свертки с фольгой и неустановленным веществом, положив их в сумку задержанного (потерпевшего К.).</w:t>
      </w:r>
    </w:p>
    <w:p>
      <w:pPr>
        <w:pStyle w:val="BodyText"/>
      </w:pPr>
      <w:r>
        <w:t xml:space="preserve">Далее обвиняемые выдвинули требования о передаче им за не привлечение потерпевшего К. к уголовной ответственности 500.000 рублей. После чего, потерпевший передал обвиняемым указанную денежную сумму, которую ему передали его родственники.</w:t>
      </w:r>
    </w:p>
    <w:p>
      <w:pPr>
        <w:pStyle w:val="BodyText"/>
      </w:pPr>
      <w:r>
        <w:t xml:space="preserve">Уголовное дело в отношении трех обвиняемых рассматривается в Бутырском районном суде г. Москвы, уголовное дело в отношении четвертого обвиняемого направлено 25.11.2022 в Бутырский районный суд г. Москвы для рассмотрения по существу.</w:t>
      </w:r>
    </w:p>
    <w:p>
      <w:pPr>
        <w:pStyle w:val="BodyText"/>
      </w:pPr>
      <w:r>
        <w:t xml:space="preserve">Обвиняемому избрана мера пресечения в виде заключения под стражу.</w:t>
      </w:r>
    </w:p>
    <w:p>
      <w:pPr>
        <w:pStyle w:val="BodyText"/>
      </w:pPr>
      <w:r>
        <w:t xml:space="preserve">2. Прокуратурой округа утверждено обвинительное заключение по уголовному делу по обвинению 54-летнего жителя Москвы, ранее являвшегося учредителем общества с ограниченной ответственностью «Г…», в совершении преступления, предусмотренного п. «б» ч. 2 ст. 199 УК РФ, то есть в уклонении от уплаты налогов в особо крупном размере.</w:t>
      </w:r>
    </w:p>
    <w:p>
      <w:pPr>
        <w:pStyle w:val="BodyText"/>
      </w:pPr>
      <w:r>
        <w:t xml:space="preserve">Предварительным следствием установлено, что обвиняемый в 2016 – 2018 финансовых годах, используя подконтрольные компании, уклонился от уплаты налога на добавленную стоимость на общую сумму более 48 млн. рублей.</w:t>
      </w:r>
    </w:p>
    <w:p>
      <w:pPr>
        <w:pStyle w:val="BodyText"/>
      </w:pPr>
      <w:r>
        <w:t xml:space="preserve">В отношении обвиняемого избрана мера пресечения в виде подписки</w:t>
      </w:r>
      <w:r>
        <w:br/>
      </w:r>
      <w:r>
        <w:t xml:space="preserve">о невыезде и надлежащем поведении.</w:t>
      </w:r>
    </w:p>
    <w:p>
      <w:pPr>
        <w:pStyle w:val="BodyText"/>
      </w:pPr>
      <w:r>
        <w:t xml:space="preserve">Прокуратурой округа подан гражданский иск в порядке ст. 44 УПК РФ на взыскание с обвиняемого 84 млн. рублей в доход Российской Федерации в счет возмещения ущерба, причиненного совершенным преступлением.</w:t>
      </w:r>
    </w:p>
    <w:p>
      <w:pPr>
        <w:pStyle w:val="BodyText"/>
      </w:pPr>
      <w:r>
        <w:t xml:space="preserve">Уголовное дело 24.11.2022 направлено в Бабушкинский районный суд</w:t>
      </w:r>
      <w:r>
        <w:br/>
      </w:r>
      <w:r>
        <w:t xml:space="preserve">г. Москвы для рассмотрения по существу.</w:t>
      </w:r>
    </w:p>
    <w:p>
      <w:pPr>
        <w:pStyle w:val="BodyText"/>
      </w:pPr>
      <w:bookmarkStart w:id="20" w:name="X205478194537fc85f78f2f225bfa270e36325d8"/>
      <w:r>
        <w:t xml:space="preserve">3. Также прокуратурой округа проведена проверка соблюдения законодательства о занятости населения.</w:t>
      </w:r>
      <w:bookmarkEnd w:id="20"/>
    </w:p>
    <w:p>
      <w:pPr>
        <w:pStyle w:val="BodyText"/>
      </w:pPr>
      <w:r>
        <w:t xml:space="preserve">В соответствии с ч. 1 ст. 3 Закона г. Москвы от 22.12.2004 № 90 «О квотировании рабочих мест» работодателям, осуществляющим деятельность на территории города Москвы, у которых среднесписочная численность работников составляет более 100 человек, устанавливается квота в размере 4 процентов от среднесписочной численности работников: 2 процента - для трудоустройства инвалидов и 2 процента - для трудоустройства категорий молодежи, указанных в части 1 статьи 2 настоящего Закона.</w:t>
      </w:r>
    </w:p>
    <w:p>
      <w:pPr>
        <w:pStyle w:val="BodyText"/>
      </w:pPr>
      <w:r>
        <w:t xml:space="preserve">Согласно ч. 2 ст. 4 Закона работодатели в соответствии с установленной квотой обязаны создавать или выделять рабочие места для трудоустройства инвалидов и категорий молодежи, указанных в части 1 статьи 2 настоящего Закона. Рабочие места считаются созданными, если на них трудоустроены граждане указанных категорий.</w:t>
      </w:r>
    </w:p>
    <w:p>
      <w:pPr>
        <w:pStyle w:val="BodyText"/>
      </w:pPr>
      <w:bookmarkStart w:id="21" w:name="Xbcddd22634b5591de6ebbba65b74b80ad921699"/>
      <w:bookmarkEnd w:id="21"/>
      <w:r>
        <w:t xml:space="preserve"> </w:t>
      </w:r>
      <w:bookmarkStart w:id="22" w:name="Xcc0bf89b1cc16e98076fff1e1ad1c91c1de1470"/>
      <w:r>
        <w:t xml:space="preserve">Установлено, что</w:t>
      </w:r>
      <w:bookmarkEnd w:id="22"/>
      <w:r>
        <w:t xml:space="preserve"> </w:t>
      </w:r>
      <w:r>
        <w:t xml:space="preserve">в 5 управляющих организациях округа не исполняются требования вышеуказанного законодательства, надлежащее количество лиц с ограниченными возможностями и молодежи не трудоустроено.</w:t>
      </w:r>
    </w:p>
    <w:p>
      <w:pPr>
        <w:pStyle w:val="BodyText"/>
      </w:pPr>
      <w:r>
        <w:t xml:space="preserve">По результатам проверки прокуратурой округа внесены представления об устранении нарушений трудового законодательства, которые рассмотрены и удовлетворены, в отношении должностных лиц возбуждено 5 дел об административных правонарушениях, предусмотренных ст. 2.2 КоАП г.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http://ostankino.mos.ru/the-prosecutor-explains/detail/11266430.html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the-prosecutor-explains/detail/112664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the-prosecutor-explains/detail/112664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2025-03-26T02:14:32Z</dcterms:created>
  <dcterms:modified xsi:type="dcterms:W3CDTF">2025-03-26T02:14:32Z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