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обенности-отказа-в-трудоустройстве."/>
    <w:p>
      <w:pPr>
        <w:pStyle w:val="Heading3"/>
      </w:pPr>
      <w:r>
        <w:t xml:space="preserve">Особенности отказа в трудоустройстве.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Президиумом Верховного суда Российской Федерации 28 апреля 2022 года утвержден обзор практики рассмотрения судами дел по спорам, связанным с заключением трудового договора, в котором обращено внимание на правовые позиции по спорам о незаконном отказе в приеме на работу, отклонении просьбы инвалида о трудоустройстве, установлении испытательного срока и другие.</w:t>
      </w:r>
    </w:p>
    <w:p>
      <w:pPr>
        <w:pStyle w:val="BodyText"/>
      </w:pPr>
      <w:r>
        <w:t xml:space="preserve">В частности, указано, что нельзя отказывать в трудоустройстве по причинам, которые не связаны с деловыми качествами соискателя, либо вовсе их не сообщать.</w:t>
      </w:r>
    </w:p>
    <w:p>
      <w:pPr>
        <w:pStyle w:val="BodyText"/>
      </w:pPr>
      <w:r>
        <w:t xml:space="preserve">Из обстоятельств одного из рассмотренных Верховным Судом Российской Федерации дела следует, что истец на интернет-сайте по поиску работы нашел объявление общества о наличии свободной вакансии. Желая трудоустроиться, он прошел собеседование с руководителем структурного подразделения общества, медицинскую комиссию, представив все запрашиваемые работодателем документы, однако ответчик в трудоустройстве истцу отказал без объяснения причин.</w:t>
      </w:r>
    </w:p>
    <w:p>
      <w:pPr>
        <w:pStyle w:val="BodyText"/>
      </w:pPr>
      <w:r>
        <w:t xml:space="preserve">Такой отказ побудил истца обратиться за защитой нарушенного права в суд, который посчитал исковые требования необоснованными и оставил их без удовлетворения. Вышестоящие инстанции с выводами суда согласились.</w:t>
      </w:r>
    </w:p>
    <w:p>
      <w:pPr>
        <w:pStyle w:val="BodyText"/>
      </w:pPr>
      <w:r>
        <w:t xml:space="preserve">Однако судебная коллегия по гражданским делам Верховного Суда Российской Федерации признала позицию судов незаконной в связи со следующими обстоятельствами.</w:t>
      </w:r>
    </w:p>
    <w:p>
      <w:pPr>
        <w:pStyle w:val="BodyText"/>
      </w:pPr>
      <w:r>
        <w:t xml:space="preserve">В силу части 1 и 5 статьи 64 Трудового кодекса Российской Федерации запрещается необоснованный отказ в заключении трудового договора. 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</w:t>
      </w:r>
    </w:p>
    <w:p>
      <w:pPr>
        <w:pStyle w:val="BodyText"/>
      </w:pPr>
      <w:r>
        <w:t xml:space="preserve">Согласно правовой позиции, изложенной в абзаце 6 пункта 10 постановления Пленума Верховного Суда Российской Федерации от 17.03.2004 № 2, 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(наличие определенной профессии, специальности, квалификации), личностных качеств работника (состояние здоровья, наличие определенного уровня образования, опыт работы по данной специальности, в данной отрасли).</w:t>
      </w:r>
    </w:p>
    <w:p>
      <w:pPr>
        <w:pStyle w:val="BodyText"/>
      </w:pPr>
      <w:r>
        <w:t xml:space="preserve">Из изложенного следует, что к необоснованному отказу гражданину в заключении трудового договора можно отнести такой отказ работодателя, в котором не указано причин этого отказа либо он сделан по основаниям, прямо запрещенным действующим законодательством, в том числе дискриминационным, либо данный отказ не связан с деловыми качествами работника, под которыми понимается наличие у него определенных профессионально- квалификационных и личностных качеств.</w:t>
      </w:r>
    </w:p>
    <w:p>
      <w:pPr>
        <w:pStyle w:val="BodyText"/>
      </w:pPr>
      <w:r>
        <w:t xml:space="preserve">При повторном судебном рассмотрении гражданского дела требования истца удовлетворены, отказ работодателя в трудоустройстве признан незаконным, с него взыскан моральный вред.</w:t>
      </w:r>
    </w:p>
    <w:p>
      <w:pPr>
        <w:pStyle w:val="BodyText"/>
      </w:pPr>
      <w:bookmarkStart w:id="20" w:name="Xb1cb6298038a19aeea99369895382b3cd949739"/>
      <w:r>
        <w:t xml:space="preserve">И.о.</w:t>
      </w:r>
      <w:bookmarkEnd w:id="20"/>
      <w:r>
        <w:t xml:space="preserve"> </w:t>
      </w:r>
      <w:r>
        <w:t xml:space="preserve">Останкинского межрайонного прокурора К.А. Головизнин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http://ostankino.mos.ru/the-prosecutor-explains/detail/11302052.html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2025-05-13T03:36:08Z</dcterms:created>
  <dcterms:modified xsi:type="dcterms:W3CDTF">2025-05-13T03:36:08Z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