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1cad41a1552e70c4ecda67d6fd89924913eef"/>
    <w:p>
      <w:pPr>
        <w:pStyle w:val="Heading3"/>
      </w:pPr>
      <w:r>
        <w:t xml:space="preserve">Останкинский межрайонный прокурор г. Москвы сообщает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Ужесточена ответственность работодателей за неисполнение обязанности по выполнению квоты для приема на работу инвалидов</w:t>
      </w:r>
    </w:p>
    <w:p>
      <w:pPr>
        <w:pStyle w:val="BodyText"/>
      </w:pPr>
      <w:r>
        <w:t xml:space="preserve">Подписан федеральный закон, ужесточающий ответственность работодателей за неисполнение обязанности по выполнению квоты для приема </w:t>
      </w:r>
      <w:r>
        <w:br/>
      </w:r>
      <w:r>
        <w:t xml:space="preserve">на работу инвалидов, за исключением случаев освобождения работодателя </w:t>
      </w:r>
      <w:r>
        <w:br/>
      </w:r>
      <w:r>
        <w:t xml:space="preserve">от выполнения установленной квоты, либо отказ работодателя в приеме на работу инвалида в пределах установленной квоты.</w:t>
      </w:r>
    </w:p>
    <w:p>
      <w:pPr>
        <w:pStyle w:val="BodyText"/>
      </w:pPr>
      <w:r>
        <w:t xml:space="preserve">Если ранее такой штраф предусматривался в размере от 5 до 10 тыс. руб., то новой редакцией ст. 5.42 КоАП РФ, вступающей в силу 20.11.2024, </w:t>
      </w:r>
      <w:r>
        <w:br/>
      </w:r>
      <w:r>
        <w:t xml:space="preserve">он установлен для должностных лиц в размере от 20 до 30 </w:t>
      </w:r>
      <w:r>
        <w:t xml:space="preserve">тыс.руб</w:t>
      </w:r>
      <w:r>
        <w:t xml:space="preserve">., для индивидуальных предпринимателей - от 30 до 50 </w:t>
      </w:r>
      <w:r>
        <w:t xml:space="preserve">тыс.руб</w:t>
      </w:r>
      <w:r>
        <w:t xml:space="preserve">., для юридических лиц - от 50 до 100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http://ostankino.mos.ru/the-prosecutor-explains/detail/12739912.html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9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9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2025-03-02T14:13:22Z</dcterms:created>
  <dcterms:modified xsi:type="dcterms:W3CDTF">2025-03-02T14:13:22Z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