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8c5616df42443080aed7b2a95abc8dd3a7758"/>
    <w:p>
      <w:pPr>
        <w:pStyle w:val="Heading3"/>
      </w:pPr>
      <w:r>
        <w:t xml:space="preserve">Останкинский межрайонный прокурор г. Москвы разъясняет: Возможности для использования маткапитала расширены.</w:t>
      </w:r>
    </w:p>
    <w:p>
      <w:pPr>
        <w:pStyle w:val="FirstParagraph"/>
      </w:pPr>
      <w:r>
        <w:t xml:space="preserve">29.05.2025</w:t>
      </w:r>
    </w:p>
    <w:p>
      <w:pPr>
        <w:pStyle w:val="BodyText"/>
      </w:pPr>
      <w:r>
        <w:t xml:space="preserve">Постановлением Правительства Российской Федерации от 25.01.2025 №46 внесены изменения в постановление Правительства Российской Федерации от 12.12.2007 № 862 «О Правилах направления средств (части средств) материнского (семейного) капитала на улучшение жилищных условий». Так, с 1 марта 2025 г. маткапитал можно будет использовать, в том числе на оплату ипотеки для строительства дома с привлечением подрядчика, работающего с эскроу-счетами. Определены порядок и условия направления средств.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http://ostankino.mos.ru/the-prosecutor-explains/detail/12998463.html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29984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29984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2025-07-02T04:58:44Z</dcterms:created>
  <dcterms:modified xsi:type="dcterms:W3CDTF">2025-07-02T04:58:44Z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