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курор-свао-г.-москвы-разъясняет"/>
    <w:p>
      <w:pPr>
        <w:pStyle w:val="Heading3"/>
      </w:pPr>
      <w:r>
        <w:t xml:space="preserve">Прокурор СВАО г. Москвы разъясняет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t xml:space="preserve">С 1 сентября 2025 года в российское законодательство вносятся изменения, касающиеся трудовой деятельности несовершеннолетних в выходные и праздничные дни</w:t>
      </w:r>
    </w:p>
    <w:p>
      <w:pPr>
        <w:pStyle w:val="BodyText"/>
      </w:pPr>
      <w:r>
        <w:t xml:space="preserve">В соответствии с Федеральным законом № 63-ФЗ, принятым 7 апреля 2025 года, статья 268 Трудового кодекса РФ будет дополнена новыми нормами.</w:t>
      </w:r>
    </w:p>
    <w:p>
      <w:pPr>
        <w:pStyle w:val="BodyText"/>
      </w:pPr>
      <w:r>
        <w:t xml:space="preserve">Теперь организации смогут привлекать к работе подростков в возрасте 14-18 лет в дни отдыха, но исключительно в летний период каникул и при условии, что они направлены органами занятости населения либо участвуют в работе официально зарегистрированных и поддерживаемых государством студенческих отрядов.</w:t>
      </w:r>
    </w:p>
    <w:p>
      <w:pPr>
        <w:pStyle w:val="BodyText"/>
      </w:pPr>
      <w:r>
        <w:t xml:space="preserve">Для трудоустройства подростков от 14 до 18 лет в эти дни потребуется:</w:t>
      </w:r>
    </w:p>
    <w:p>
      <w:pPr>
        <w:pStyle w:val="BodyText"/>
      </w:pPr>
      <w:r>
        <w:t xml:space="preserve">- получить письменное согласие от самого подростка, если ему уже 15 лет;</w:t>
      </w:r>
    </w:p>
    <w:p>
      <w:pPr>
        <w:pStyle w:val="BodyText"/>
      </w:pPr>
      <w:r>
        <w:t xml:space="preserve">- оформить письменное согласие как от подростка, так и от одного из его родителей (или законного опекуна), если ему еще не исполнилось 15 лет;</w:t>
      </w:r>
    </w:p>
    <w:p>
      <w:pPr>
        <w:pStyle w:val="BodyText"/>
      </w:pPr>
      <w:r>
        <w:t xml:space="preserve">- добиться письменного согласия от работника, органа опеки и попечительства, либо другого представителя, если несовершеннолетний является сиротой или находится под опекой.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http://ostankino.mos.ru/the-prosecutor-explains/detail/13074371.html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30743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30743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2025-06-30T15:36:53Z</dcterms:created>
  <dcterms:modified xsi:type="dcterms:W3CDTF">2025-06-30T15:36:53Z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