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новные-нормативные-документы"/>
    <w:p>
      <w:pPr>
        <w:pStyle w:val="Heading3"/>
      </w:pPr>
      <w:r>
        <w:t xml:space="preserve">Основные нормативные документы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drawing>
          <wp:inline>
            <wp:extent cx="5334000" cy="4686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прокуратура%20на%20сайт%2007072020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http://ostankino.mos.ru/the-prosecutor-explains/detail/9022636.html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the-prosecutor-explains/detail/902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the-prosecutor-explains/detail/902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2025-07-15T03:22:06Z</dcterms:created>
  <dcterms:modified xsi:type="dcterms:W3CDTF">2025-07-15T03:22:06Z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